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eastAsia="SimSun" w:cs="Arial"/>
          <w:sz w:val="24"/>
          <w:szCs w:val="24"/>
          <w:lang w:eastAsia="hi-IN" w:bidi="hi-IN"/>
        </w:rPr>
      </w:pPr>
      <w:r>
        <w:rPr>
          <w:rFonts w:eastAsia="SimSun" w:cs="Arial" w:ascii="Arial" w:hAnsi="Arial"/>
          <w:sz w:val="24"/>
          <w:szCs w:val="24"/>
          <w:lang w:eastAsia="hi-IN" w:bidi="hi-IN"/>
        </w:rPr>
      </w:r>
    </w:p>
    <w:tbl>
      <w:tblPr>
        <w:tblW w:w="9639" w:type="dxa"/>
        <w:jc w:val="left"/>
        <w:tblInd w:w="-10" w:type="dxa"/>
        <w:tblBorders>
          <w:top w:val="single" w:sz="4" w:space="0" w:color="000001"/>
          <w:left w:val="single" w:sz="4" w:space="0" w:color="000001"/>
          <w:bottom w:val="single" w:sz="4" w:space="0" w:color="000001"/>
          <w:insideH w:val="single" w:sz="4" w:space="0" w:color="000001"/>
        </w:tblBorders>
        <w:tblCellMar>
          <w:top w:w="0" w:type="dxa"/>
          <w:left w:w="98" w:type="dxa"/>
          <w:bottom w:w="0" w:type="dxa"/>
          <w:right w:w="108" w:type="dxa"/>
        </w:tblCellMar>
      </w:tblPr>
      <w:tblGrid>
        <w:gridCol w:w="850"/>
        <w:gridCol w:w="1416"/>
        <w:gridCol w:w="3118"/>
        <w:gridCol w:w="2268"/>
        <w:gridCol w:w="1987"/>
      </w:tblGrid>
      <w:tr>
        <w:trPr/>
        <w:tc>
          <w:tcPr>
            <w:tcW w:w="850"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b/>
                <w:b/>
                <w:color w:val="00000A"/>
                <w:sz w:val="18"/>
                <w:szCs w:val="18"/>
                <w:lang w:val="bg-BG"/>
              </w:rPr>
            </w:pPr>
            <w:r>
              <w:rPr>
                <w:rFonts w:cs="Arial" w:ascii="Arial" w:hAnsi="Arial"/>
                <w:b/>
                <w:color w:val="00000A"/>
                <w:sz w:val="18"/>
                <w:szCs w:val="18"/>
                <w:lang w:val="bg-BG"/>
              </w:rPr>
              <w:t>Версия</w:t>
            </w:r>
          </w:p>
        </w:tc>
        <w:tc>
          <w:tcPr>
            <w:tcW w:w="1416"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b/>
                <w:b/>
                <w:color w:val="00000A"/>
                <w:sz w:val="18"/>
                <w:szCs w:val="18"/>
                <w:lang w:val="bg-BG"/>
              </w:rPr>
            </w:pPr>
            <w:r>
              <w:rPr>
                <w:rFonts w:cs="Arial" w:ascii="Arial" w:hAnsi="Arial"/>
                <w:b/>
                <w:color w:val="00000A"/>
                <w:sz w:val="18"/>
                <w:szCs w:val="18"/>
                <w:lang w:val="bg-BG"/>
              </w:rPr>
              <w:t>Дата</w:t>
            </w:r>
          </w:p>
        </w:tc>
        <w:tc>
          <w:tcPr>
            <w:tcW w:w="3118"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b/>
                <w:b/>
                <w:color w:val="00000A"/>
                <w:sz w:val="18"/>
                <w:szCs w:val="18"/>
                <w:lang w:val="bg-BG"/>
              </w:rPr>
            </w:pPr>
            <w:r>
              <w:rPr>
                <w:rFonts w:cs="Arial" w:ascii="Arial" w:hAnsi="Arial"/>
                <w:b/>
                <w:color w:val="00000A"/>
                <w:sz w:val="18"/>
                <w:szCs w:val="18"/>
                <w:lang w:val="bg-BG"/>
              </w:rPr>
              <w:t>Описание</w:t>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color w:val="00000A"/>
                <w:lang w:val="bg-BG"/>
              </w:rPr>
            </w:pPr>
            <w:r>
              <w:rPr>
                <w:rFonts w:cs="Arial" w:ascii="Arial" w:hAnsi="Arial"/>
                <w:b/>
                <w:color w:val="00000A"/>
                <w:sz w:val="18"/>
                <w:szCs w:val="18"/>
                <w:lang w:val="bg-BG"/>
              </w:rPr>
              <w:t>Автор</w:t>
            </w:r>
          </w:p>
        </w:tc>
        <w:tc>
          <w:tcPr>
            <w:tcW w:w="19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rFonts w:ascii="Arial" w:hAnsi="Arial" w:cs="Arial"/>
                <w:b/>
                <w:b/>
                <w:color w:val="00000A"/>
                <w:sz w:val="18"/>
                <w:szCs w:val="18"/>
                <w:lang w:val="bg-BG"/>
              </w:rPr>
            </w:pPr>
            <w:r>
              <w:rPr>
                <w:rFonts w:cs="Arial" w:ascii="Arial" w:hAnsi="Arial"/>
                <w:b/>
                <w:color w:val="00000A"/>
                <w:sz w:val="18"/>
                <w:szCs w:val="18"/>
                <w:lang w:val="bg-BG"/>
              </w:rPr>
              <w:t>Одобрил</w:t>
            </w:r>
          </w:p>
        </w:tc>
      </w:tr>
      <w:tr>
        <w:trPr/>
        <w:tc>
          <w:tcPr>
            <w:tcW w:w="850" w:type="dxa"/>
            <w:tcBorders>
              <w:top w:val="single" w:sz="4" w:space="0" w:color="000001"/>
              <w:left w:val="single" w:sz="4" w:space="0" w:color="000001"/>
              <w:bottom w:val="single" w:sz="4" w:space="0" w:color="000001"/>
              <w:insideH w:val="single" w:sz="4" w:space="0" w:color="000001"/>
            </w:tcBorders>
            <w:shd w:fill="auto" w:val="clear"/>
            <w:tcMar>
              <w:left w:w="98" w:type="dxa"/>
            </w:tcMar>
          </w:tcPr>
          <w:p>
            <w:pPr>
              <w:pStyle w:val="Tabletext"/>
              <w:keepLines w:val="false"/>
              <w:suppressAutoHyphens w:val="true"/>
              <w:spacing w:before="0" w:after="120"/>
              <w:rPr>
                <w:rFonts w:ascii="Arial" w:hAnsi="Arial" w:eastAsia="Times New Roman" w:cs="Arial"/>
                <w:color w:val="000000"/>
                <w:sz w:val="19"/>
                <w:szCs w:val="19"/>
                <w:lang w:val="bg-BG" w:eastAsia="ar-SA" w:bidi="ar-SA"/>
              </w:rPr>
            </w:pPr>
            <w:r>
              <w:rPr>
                <w:rFonts w:eastAsia="Times New Roman" w:cs="Arial" w:ascii="Arial" w:hAnsi="Arial"/>
                <w:color w:val="000000"/>
                <w:sz w:val="19"/>
                <w:szCs w:val="19"/>
                <w:lang w:val="bg-BG" w:eastAsia="ar-SA" w:bidi="ar-SA"/>
              </w:rPr>
            </w:r>
          </w:p>
        </w:tc>
        <w:tc>
          <w:tcPr>
            <w:tcW w:w="1416" w:type="dxa"/>
            <w:tcBorders>
              <w:top w:val="single" w:sz="4" w:space="0" w:color="000001"/>
              <w:left w:val="single" w:sz="4" w:space="0" w:color="000001"/>
              <w:bottom w:val="single" w:sz="4" w:space="0" w:color="000001"/>
              <w:insideH w:val="single" w:sz="4" w:space="0" w:color="000001"/>
            </w:tcBorders>
            <w:shd w:color="auto" w:fill="auto" w:val="clear"/>
            <w:tcMar>
              <w:left w:w="98" w:type="dxa"/>
            </w:tcMar>
          </w:tcPr>
          <w:p>
            <w:pPr>
              <w:pStyle w:val="Tabletext"/>
              <w:keepLines w:val="false"/>
              <w:suppressAutoHyphens w:val="true"/>
              <w:spacing w:before="0" w:after="120"/>
              <w:rPr>
                <w:rFonts w:ascii="Arial" w:hAnsi="Arial" w:eastAsia="Times New Roman" w:cs="Arial"/>
                <w:color w:val="000000"/>
                <w:sz w:val="19"/>
                <w:szCs w:val="19"/>
                <w:lang w:val="bg-BG" w:eastAsia="ar-SA" w:bidi="ar-SA"/>
              </w:rPr>
            </w:pPr>
            <w:r>
              <w:rPr>
                <w:rFonts w:eastAsia="Times New Roman" w:cs="Arial" w:ascii="Arial" w:hAnsi="Arial"/>
                <w:color w:val="000000"/>
                <w:sz w:val="19"/>
                <w:szCs w:val="19"/>
                <w:lang w:val="bg-BG" w:eastAsia="ar-SA" w:bidi="ar-SA"/>
              </w:rPr>
            </w:r>
          </w:p>
        </w:tc>
        <w:tc>
          <w:tcPr>
            <w:tcW w:w="3118" w:type="dxa"/>
            <w:tcBorders>
              <w:top w:val="single" w:sz="4" w:space="0" w:color="000001"/>
              <w:left w:val="single" w:sz="4" w:space="0" w:color="000001"/>
              <w:bottom w:val="single" w:sz="4" w:space="0" w:color="000001"/>
              <w:insideH w:val="single" w:sz="4" w:space="0" w:color="000001"/>
            </w:tcBorders>
            <w:shd w:color="auto" w:fill="auto" w:val="clear"/>
            <w:tcMar>
              <w:left w:w="98" w:type="dxa"/>
            </w:tcMar>
          </w:tcPr>
          <w:p>
            <w:pPr>
              <w:pStyle w:val="Tabletext"/>
              <w:keepLines w:val="false"/>
              <w:suppressAutoHyphens w:val="true"/>
              <w:spacing w:before="0" w:after="120"/>
              <w:rPr>
                <w:rFonts w:ascii="Arial" w:hAnsi="Arial" w:eastAsia="Times New Roman" w:cs="Arial"/>
                <w:color w:val="000000"/>
                <w:sz w:val="19"/>
                <w:szCs w:val="19"/>
                <w:lang w:val="bg-BG" w:eastAsia="ar-SA" w:bidi="ar-SA"/>
              </w:rPr>
            </w:pPr>
            <w:r>
              <w:rPr>
                <w:rFonts w:eastAsia="Times New Roman" w:cs="Arial" w:ascii="Arial" w:hAnsi="Arial"/>
                <w:color w:val="000000"/>
                <w:sz w:val="19"/>
                <w:szCs w:val="19"/>
                <w:lang w:val="bg-BG" w:eastAsia="ar-SA" w:bidi="ar-SA"/>
              </w:rPr>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Tabletext"/>
              <w:keepLines w:val="false"/>
              <w:suppressAutoHyphens w:val="true"/>
              <w:spacing w:before="0" w:after="120"/>
              <w:rPr>
                <w:rFonts w:ascii="Arial" w:hAnsi="Arial" w:eastAsia="Times New Roman" w:cs="Arial"/>
                <w:color w:val="000000"/>
                <w:sz w:val="20"/>
                <w:szCs w:val="20"/>
                <w:lang w:val="bg-BG" w:eastAsia="ar-SA" w:bidi="ar-SA"/>
              </w:rPr>
            </w:pPr>
            <w:r>
              <w:rPr>
                <w:rFonts w:eastAsia="Times New Roman" w:cs="Arial" w:ascii="Arial" w:hAnsi="Arial"/>
                <w:color w:val="000000"/>
                <w:sz w:val="20"/>
                <w:szCs w:val="20"/>
                <w:lang w:val="bg-BG" w:eastAsia="ar-SA" w:bidi="ar-SA"/>
              </w:rPr>
            </w:r>
          </w:p>
        </w:tc>
        <w:tc>
          <w:tcPr>
            <w:tcW w:w="19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Tabletext"/>
              <w:keepLines w:val="false"/>
              <w:suppressAutoHyphens w:val="true"/>
              <w:spacing w:before="0" w:after="120"/>
              <w:rPr>
                <w:rFonts w:ascii="Arial" w:hAnsi="Arial" w:eastAsia="Times New Roman" w:cs="Arial"/>
                <w:color w:val="000000"/>
                <w:sz w:val="20"/>
                <w:szCs w:val="20"/>
                <w:lang w:val="bg-BG" w:eastAsia="ar-SA" w:bidi="ar-SA"/>
              </w:rPr>
            </w:pPr>
            <w:r>
              <w:rPr>
                <w:rFonts w:eastAsia="Times New Roman" w:cs="Arial" w:ascii="Arial" w:hAnsi="Arial"/>
                <w:color w:val="000000"/>
                <w:sz w:val="20"/>
                <w:szCs w:val="20"/>
                <w:lang w:val="bg-BG" w:eastAsia="ar-SA" w:bidi="ar-SA"/>
              </w:rPr>
            </w:r>
          </w:p>
        </w:tc>
      </w:tr>
    </w:tbl>
    <w:p>
      <w:pPr>
        <w:pStyle w:val="GDPRApisParts"/>
        <w:numPr>
          <w:ilvl w:val="0"/>
          <w:numId w:val="3"/>
        </w:numPr>
        <w:spacing w:lineRule="auto" w:line="240" w:before="240" w:after="240"/>
        <w:ind w:left="426" w:hanging="426"/>
        <w:rPr/>
      </w:pPr>
      <w:r>
        <w:rPr>
          <w:rFonts w:cs="Arial"/>
        </w:rPr>
        <w:t>Предназначение на процедурата</w:t>
      </w:r>
    </w:p>
    <w:p>
      <w:pPr>
        <w:pStyle w:val="Normal"/>
        <w:shd w:val="clear" w:color="auto" w:themeTint="0" w:themeShade="0" w:fill="FFFFFF" w:themeFill="background1" w:themeFillTint="0" w:themeFillShade="0"/>
        <w:spacing w:before="0" w:after="120"/>
        <w:rPr/>
      </w:pPr>
      <w:r>
        <w:rPr>
          <w:rFonts w:cs="Arial" w:ascii="Arial" w:hAnsi="Arial"/>
          <w:sz w:val="22"/>
          <w:szCs w:val="22"/>
        </w:rPr>
        <w:t xml:space="preserve">Всички лични данни, обработвани от </w:t>
      </w:r>
      <w:r>
        <w:rPr>
          <w:rStyle w:val="SGDPRAdministratorNameChar"/>
          <w:rFonts w:cs="Arial" w:ascii="Arial" w:hAnsi="Arial"/>
          <w:sz w:val="22"/>
          <w:szCs w:val="22"/>
        </w:rPr>
        <w:t>ПАТО ЕООД</w:t>
      </w:r>
      <w:r>
        <w:rPr>
          <w:rFonts w:cs="Arial" w:ascii="Arial" w:hAnsi="Arial"/>
          <w:sz w:val="22"/>
          <w:szCs w:val="22"/>
        </w:rPr>
        <w:t>, попадат в обхвата на тази процедура. Субектът на данни може в защита на своите права да отправи към ПАТО ЕООД следните искания:</w:t>
      </w:r>
    </w:p>
    <w:p>
      <w:pPr>
        <w:pStyle w:val="ListParagraph"/>
        <w:numPr>
          <w:ilvl w:val="0"/>
          <w:numId w:val="1"/>
        </w:numPr>
        <w:spacing w:before="0" w:after="120"/>
        <w:ind w:left="851" w:hanging="425"/>
        <w:rPr/>
      </w:pPr>
      <w:r>
        <w:rPr>
          <w:rFonts w:cs="Arial" w:ascii="Arial" w:hAnsi="Arial"/>
          <w:sz w:val="22"/>
          <w:szCs w:val="22"/>
          <w:lang w:val="bg-BG"/>
        </w:rPr>
        <w:t>Искане за достъп (</w:t>
      </w:r>
      <w:hyperlink r:id="rId2">
        <w:r>
          <w:rPr>
            <w:rStyle w:val="Style11"/>
            <w:rFonts w:cs="Arial" w:ascii="Arial" w:hAnsi="Arial"/>
            <w:sz w:val="22"/>
            <w:szCs w:val="22"/>
            <w:lang w:val="bg-BG"/>
          </w:rPr>
          <w:t>член 15 от ОРЗД</w:t>
        </w:r>
      </w:hyperlink>
      <w:r>
        <w:rPr>
          <w:rFonts w:cs="Arial" w:ascii="Arial" w:hAnsi="Arial"/>
          <w:sz w:val="22"/>
          <w:szCs w:val="22"/>
          <w:lang w:val="bg-BG"/>
        </w:rPr>
        <w:t>);</w:t>
      </w:r>
    </w:p>
    <w:p>
      <w:pPr>
        <w:pStyle w:val="ListParagraph"/>
        <w:numPr>
          <w:ilvl w:val="0"/>
          <w:numId w:val="1"/>
        </w:numPr>
        <w:spacing w:before="0" w:after="120"/>
        <w:ind w:left="851" w:hanging="425"/>
        <w:rPr/>
      </w:pPr>
      <w:r>
        <w:rPr>
          <w:rFonts w:cs="Arial" w:ascii="Arial" w:hAnsi="Arial"/>
          <w:sz w:val="22"/>
          <w:szCs w:val="22"/>
          <w:lang w:val="bg-BG"/>
        </w:rPr>
        <w:t>Искане за коригиране (</w:t>
      </w:r>
      <w:hyperlink r:id="rId3">
        <w:r>
          <w:rPr>
            <w:rStyle w:val="Style11"/>
            <w:rFonts w:cs="Arial" w:ascii="Arial" w:hAnsi="Arial"/>
            <w:sz w:val="22"/>
            <w:szCs w:val="22"/>
            <w:lang w:val="bg-BG"/>
          </w:rPr>
          <w:t>член 16 от ОРЗД</w:t>
        </w:r>
      </w:hyperlink>
      <w:r>
        <w:rPr>
          <w:rFonts w:cs="Arial" w:ascii="Arial" w:hAnsi="Arial"/>
          <w:sz w:val="22"/>
          <w:szCs w:val="22"/>
          <w:lang w:val="bg-BG"/>
        </w:rPr>
        <w:t>);</w:t>
      </w:r>
    </w:p>
    <w:p>
      <w:pPr>
        <w:pStyle w:val="ListParagraph"/>
        <w:numPr>
          <w:ilvl w:val="0"/>
          <w:numId w:val="1"/>
        </w:numPr>
        <w:spacing w:before="0" w:after="120"/>
        <w:ind w:left="851" w:hanging="425"/>
        <w:rPr/>
      </w:pPr>
      <w:r>
        <w:rPr>
          <w:rFonts w:cs="Arial" w:ascii="Arial" w:hAnsi="Arial"/>
          <w:sz w:val="22"/>
          <w:szCs w:val="22"/>
          <w:lang w:val="bg-BG"/>
        </w:rPr>
        <w:t>Искане за изтриване („право да бъдеш забравен“) (</w:t>
      </w:r>
      <w:hyperlink r:id="rId4">
        <w:r>
          <w:rPr>
            <w:rStyle w:val="Style11"/>
            <w:rFonts w:cs="Arial" w:ascii="Arial" w:hAnsi="Arial"/>
            <w:sz w:val="22"/>
            <w:szCs w:val="22"/>
            <w:lang w:val="bg-BG"/>
          </w:rPr>
          <w:t>член 17 от ОРЗД</w:t>
        </w:r>
      </w:hyperlink>
      <w:r>
        <w:rPr>
          <w:rFonts w:cs="Arial" w:ascii="Arial" w:hAnsi="Arial"/>
          <w:sz w:val="22"/>
          <w:szCs w:val="22"/>
          <w:lang w:val="bg-BG"/>
        </w:rPr>
        <w:t>);</w:t>
      </w:r>
    </w:p>
    <w:p>
      <w:pPr>
        <w:pStyle w:val="ListParagraph"/>
        <w:numPr>
          <w:ilvl w:val="0"/>
          <w:numId w:val="1"/>
        </w:numPr>
        <w:spacing w:before="0" w:after="120"/>
        <w:ind w:left="851" w:hanging="425"/>
        <w:rPr/>
      </w:pPr>
      <w:r>
        <w:rPr>
          <w:rFonts w:cs="Arial" w:ascii="Arial" w:hAnsi="Arial"/>
          <w:sz w:val="22"/>
          <w:szCs w:val="22"/>
          <w:lang w:val="bg-BG"/>
        </w:rPr>
        <w:t>Искане за ограничаване на обработването (</w:t>
      </w:r>
      <w:hyperlink r:id="rId5">
        <w:r>
          <w:rPr>
            <w:rStyle w:val="Style11"/>
            <w:rFonts w:cs="Arial" w:ascii="Arial" w:hAnsi="Arial"/>
            <w:sz w:val="22"/>
            <w:szCs w:val="22"/>
            <w:lang w:val="bg-BG"/>
          </w:rPr>
          <w:t>член 18 от ОРЗД</w:t>
        </w:r>
      </w:hyperlink>
      <w:r>
        <w:rPr>
          <w:rFonts w:cs="Arial" w:ascii="Arial" w:hAnsi="Arial"/>
          <w:sz w:val="22"/>
          <w:szCs w:val="22"/>
          <w:lang w:val="bg-BG"/>
        </w:rPr>
        <w:t>);</w:t>
      </w:r>
    </w:p>
    <w:p>
      <w:pPr>
        <w:pStyle w:val="ListParagraph"/>
        <w:numPr>
          <w:ilvl w:val="0"/>
          <w:numId w:val="1"/>
        </w:numPr>
        <w:spacing w:before="0" w:after="120"/>
        <w:ind w:left="851" w:hanging="425"/>
        <w:rPr/>
      </w:pPr>
      <w:r>
        <w:rPr>
          <w:rFonts w:cs="Arial" w:ascii="Arial" w:hAnsi="Arial"/>
          <w:sz w:val="22"/>
          <w:szCs w:val="22"/>
          <w:lang w:val="bg-BG"/>
        </w:rPr>
        <w:t>Искане за пренасяне на данните (</w:t>
      </w:r>
      <w:hyperlink r:id="rId6">
        <w:r>
          <w:rPr>
            <w:rStyle w:val="Style11"/>
            <w:rFonts w:cs="Arial" w:ascii="Arial" w:hAnsi="Arial"/>
            <w:sz w:val="22"/>
            <w:szCs w:val="22"/>
            <w:lang w:val="bg-BG"/>
          </w:rPr>
          <w:t>член 20 от ОРЗД</w:t>
        </w:r>
      </w:hyperlink>
      <w:r>
        <w:rPr>
          <w:rFonts w:cs="Arial" w:ascii="Arial" w:hAnsi="Arial"/>
          <w:sz w:val="22"/>
          <w:szCs w:val="22"/>
          <w:lang w:val="bg-BG"/>
        </w:rPr>
        <w:t>);</w:t>
      </w:r>
    </w:p>
    <w:p>
      <w:pPr>
        <w:pStyle w:val="ListParagraph"/>
        <w:numPr>
          <w:ilvl w:val="0"/>
          <w:numId w:val="1"/>
        </w:numPr>
        <w:spacing w:before="0" w:after="120"/>
        <w:ind w:left="851" w:hanging="425"/>
        <w:rPr/>
      </w:pPr>
      <w:r>
        <w:rPr>
          <w:rFonts w:cs="Arial" w:ascii="Arial" w:hAnsi="Arial"/>
          <w:sz w:val="22"/>
          <w:szCs w:val="22"/>
          <w:lang w:val="bg-BG"/>
        </w:rPr>
        <w:t>Възражение срещу обработване (</w:t>
      </w:r>
      <w:hyperlink r:id="rId7">
        <w:r>
          <w:rPr>
            <w:rStyle w:val="Style11"/>
            <w:rFonts w:cs="Arial" w:ascii="Arial" w:hAnsi="Arial"/>
            <w:sz w:val="22"/>
            <w:szCs w:val="22"/>
            <w:lang w:val="bg-BG"/>
          </w:rPr>
          <w:t>член 21 от ОРЗД</w:t>
        </w:r>
      </w:hyperlink>
      <w:r>
        <w:rPr>
          <w:rFonts w:cs="Arial" w:ascii="Arial" w:hAnsi="Arial"/>
          <w:sz w:val="22"/>
          <w:szCs w:val="22"/>
          <w:lang w:val="bg-BG"/>
        </w:rPr>
        <w:t>).</w:t>
      </w:r>
    </w:p>
    <w:p>
      <w:pPr>
        <w:pStyle w:val="Normal"/>
        <w:spacing w:before="0" w:after="120"/>
        <w:rPr>
          <w:rFonts w:ascii="Arial" w:hAnsi="Arial" w:cs="Arial"/>
          <w:sz w:val="22"/>
          <w:szCs w:val="22"/>
        </w:rPr>
      </w:pPr>
      <w:r>
        <w:rPr>
          <w:rFonts w:cs="Arial" w:ascii="Arial" w:hAnsi="Arial"/>
          <w:sz w:val="22"/>
          <w:szCs w:val="22"/>
        </w:rPr>
        <w:t>Искането за упражняване на правото на преносимост на данните се разглежда отделно в Процедура за преносимост на данните (GDPR_PROC_05).</w:t>
      </w:r>
    </w:p>
    <w:p>
      <w:pPr>
        <w:pStyle w:val="GDPRApisParts"/>
        <w:numPr>
          <w:ilvl w:val="0"/>
          <w:numId w:val="3"/>
        </w:numPr>
        <w:spacing w:lineRule="auto" w:line="240" w:before="240" w:after="240"/>
        <w:ind w:left="426" w:hanging="426"/>
        <w:rPr>
          <w:rFonts w:cs="Arial"/>
        </w:rPr>
      </w:pPr>
      <w:r>
        <w:rPr>
          <w:rFonts w:cs="Arial"/>
        </w:rPr>
        <w:t>Нормативна уредба</w:t>
      </w:r>
    </w:p>
    <w:p>
      <w:pPr>
        <w:pStyle w:val="ListParagraph"/>
        <w:numPr>
          <w:ilvl w:val="0"/>
          <w:numId w:val="1"/>
        </w:numPr>
        <w:spacing w:before="0" w:after="120"/>
        <w:ind w:left="851" w:hanging="425"/>
        <w:rPr/>
      </w:pPr>
      <w:r>
        <w:rPr>
          <w:rFonts w:cs="Arial" w:ascii="Arial" w:hAnsi="Arial"/>
          <w:sz w:val="22"/>
          <w:szCs w:val="22"/>
          <w:lang w:val="bg-BG"/>
        </w:rPr>
        <w:t xml:space="preserve">Членове </w:t>
      </w:r>
      <w:hyperlink r:id="rId8">
        <w:r>
          <w:rPr>
            <w:rStyle w:val="Style11"/>
            <w:rFonts w:cs="Arial" w:ascii="Arial" w:hAnsi="Arial"/>
            <w:sz w:val="22"/>
            <w:szCs w:val="22"/>
            <w:lang w:val="bg-BG"/>
          </w:rPr>
          <w:t>12</w:t>
        </w:r>
      </w:hyperlink>
      <w:r>
        <w:rPr>
          <w:rFonts w:cs="Arial" w:ascii="Arial" w:hAnsi="Arial"/>
          <w:sz w:val="22"/>
          <w:szCs w:val="22"/>
          <w:lang w:val="bg-BG"/>
        </w:rPr>
        <w:t xml:space="preserve">, </w:t>
      </w:r>
      <w:hyperlink r:id="rId9">
        <w:r>
          <w:rPr>
            <w:rStyle w:val="Style11"/>
            <w:rFonts w:cs="Arial" w:ascii="Arial" w:hAnsi="Arial"/>
            <w:sz w:val="22"/>
            <w:szCs w:val="22"/>
            <w:lang w:val="bg-BG"/>
          </w:rPr>
          <w:t>15</w:t>
        </w:r>
      </w:hyperlink>
      <w:r>
        <w:rPr>
          <w:rFonts w:cs="Arial" w:ascii="Arial" w:hAnsi="Arial"/>
          <w:sz w:val="22"/>
          <w:szCs w:val="22"/>
          <w:lang w:val="bg-BG"/>
        </w:rPr>
        <w:t xml:space="preserve">, </w:t>
      </w:r>
      <w:hyperlink r:id="rId10">
        <w:r>
          <w:rPr>
            <w:rStyle w:val="Style11"/>
            <w:rFonts w:cs="Arial" w:ascii="Arial" w:hAnsi="Arial"/>
            <w:sz w:val="22"/>
            <w:szCs w:val="22"/>
            <w:lang w:val="bg-BG"/>
          </w:rPr>
          <w:t>16</w:t>
        </w:r>
      </w:hyperlink>
      <w:r>
        <w:rPr>
          <w:rFonts w:cs="Arial" w:ascii="Arial" w:hAnsi="Arial"/>
          <w:sz w:val="22"/>
          <w:szCs w:val="22"/>
          <w:lang w:val="bg-BG"/>
        </w:rPr>
        <w:t xml:space="preserve">, </w:t>
      </w:r>
      <w:hyperlink r:id="rId11">
        <w:r>
          <w:rPr>
            <w:rStyle w:val="Style11"/>
            <w:rFonts w:cs="Arial" w:ascii="Arial" w:hAnsi="Arial"/>
            <w:sz w:val="22"/>
            <w:szCs w:val="22"/>
            <w:lang w:val="bg-BG"/>
          </w:rPr>
          <w:t>17</w:t>
        </w:r>
      </w:hyperlink>
      <w:r>
        <w:rPr>
          <w:rFonts w:cs="Arial" w:ascii="Arial" w:hAnsi="Arial"/>
          <w:sz w:val="22"/>
          <w:szCs w:val="22"/>
          <w:lang w:val="bg-BG"/>
        </w:rPr>
        <w:t xml:space="preserve">, </w:t>
      </w:r>
      <w:hyperlink r:id="rId12">
        <w:r>
          <w:rPr>
            <w:rStyle w:val="Style11"/>
            <w:rFonts w:cs="Arial" w:ascii="Arial" w:hAnsi="Arial"/>
            <w:sz w:val="22"/>
            <w:szCs w:val="22"/>
            <w:lang w:val="bg-BG"/>
          </w:rPr>
          <w:t>18</w:t>
        </w:r>
      </w:hyperlink>
      <w:r>
        <w:rPr>
          <w:rFonts w:cs="Arial" w:ascii="Arial" w:hAnsi="Arial"/>
          <w:sz w:val="22"/>
          <w:szCs w:val="22"/>
          <w:lang w:val="bg-BG"/>
        </w:rPr>
        <w:t xml:space="preserve">, </w:t>
      </w:r>
      <w:hyperlink r:id="rId13">
        <w:r>
          <w:rPr>
            <w:rStyle w:val="Style11"/>
            <w:rFonts w:cs="Arial" w:ascii="Arial" w:hAnsi="Arial"/>
            <w:sz w:val="22"/>
            <w:szCs w:val="22"/>
            <w:lang w:val="bg-BG"/>
          </w:rPr>
          <w:t>20</w:t>
        </w:r>
      </w:hyperlink>
      <w:r>
        <w:rPr>
          <w:rFonts w:cs="Arial" w:ascii="Arial" w:hAnsi="Arial"/>
          <w:sz w:val="22"/>
          <w:szCs w:val="22"/>
          <w:lang w:val="bg-BG"/>
        </w:rPr>
        <w:t xml:space="preserve"> и </w:t>
      </w:r>
      <w:hyperlink r:id="rId14">
        <w:r>
          <w:rPr>
            <w:rStyle w:val="Style11"/>
            <w:rFonts w:cs="Arial" w:ascii="Arial" w:hAnsi="Arial"/>
            <w:sz w:val="22"/>
            <w:szCs w:val="22"/>
            <w:lang w:val="bg-BG"/>
          </w:rPr>
          <w:t>21</w:t>
        </w:r>
      </w:hyperlink>
      <w:r>
        <w:rPr>
          <w:rFonts w:cs="Arial" w:ascii="Arial" w:hAnsi="Arial"/>
          <w:sz w:val="22"/>
          <w:szCs w:val="22"/>
          <w:lang w:val="bg-BG"/>
        </w:rPr>
        <w:t xml:space="preserve"> от Общия регламент за защита на данните </w:t>
      </w:r>
      <w:r>
        <w:rPr>
          <w:rFonts w:cs="Arial" w:ascii="Arial" w:hAnsi="Arial"/>
          <w:sz w:val="22"/>
          <w:szCs w:val="22"/>
        </w:rPr>
        <w:t>(</w:t>
      </w:r>
      <w:r>
        <w:rPr>
          <w:rFonts w:cs="Arial" w:ascii="Arial" w:hAnsi="Arial"/>
          <w:sz w:val="22"/>
          <w:szCs w:val="22"/>
          <w:lang w:val="bg-BG"/>
        </w:rPr>
        <w:t>ОРЗД</w:t>
      </w:r>
      <w:r>
        <w:rPr>
          <w:rFonts w:cs="Arial" w:ascii="Arial" w:hAnsi="Arial"/>
          <w:sz w:val="22"/>
          <w:szCs w:val="22"/>
        </w:rPr>
        <w:t>)</w:t>
      </w:r>
    </w:p>
    <w:p>
      <w:pPr>
        <w:pStyle w:val="GDPRApisParts"/>
        <w:numPr>
          <w:ilvl w:val="0"/>
          <w:numId w:val="3"/>
        </w:numPr>
        <w:spacing w:lineRule="auto" w:line="240" w:before="240" w:after="240"/>
        <w:ind w:left="426" w:hanging="426"/>
        <w:rPr>
          <w:rFonts w:cs="Arial"/>
        </w:rPr>
      </w:pPr>
      <w:r>
        <w:rPr>
          <w:rFonts w:cs="Arial"/>
        </w:rPr>
        <w:t>Задължения и роли</w:t>
      </w:r>
    </w:p>
    <w:p>
      <w:pPr>
        <w:pStyle w:val="Normal"/>
        <w:shd w:val="clear" w:color="auto" w:themeTint="0" w:themeShade="0" w:fill="FFFFFF" w:themeFill="background1" w:themeFillTint="0" w:themeFillShade="0"/>
        <w:spacing w:before="0" w:after="120"/>
        <w:rPr>
          <w:rFonts w:ascii="Arial" w:hAnsi="Arial" w:cs="Arial"/>
          <w:sz w:val="22"/>
        </w:rPr>
      </w:pPr>
      <w:r>
        <w:rPr>
          <w:rFonts w:cs="Arial" w:ascii="Arial" w:hAnsi="Arial"/>
          <w:sz w:val="22"/>
        </w:rPr>
        <w:t>Длъжностното лице по защита на данните / Отговорникът по защита на данните отговаря за прилагането и ефективното изпълнение на тази процедура и за уведомяване на собственика на информацията (ръководителя на търговския отдел, ръководителя на отдел човешки ресурси, ръководителя на отдел реклама и т.н.) за исканията на субектите на данни.</w:t>
      </w:r>
    </w:p>
    <w:p>
      <w:pPr>
        <w:pStyle w:val="Normal"/>
        <w:shd w:val="clear" w:color="auto" w:themeTint="0" w:themeShade="0" w:fill="FFFFFF" w:themeFill="background1" w:themeFillTint="0" w:themeFillShade="0"/>
        <w:spacing w:before="0" w:after="120"/>
        <w:rPr>
          <w:rFonts w:ascii="Arial" w:hAnsi="Arial" w:cs="Arial"/>
          <w:sz w:val="22"/>
        </w:rPr>
      </w:pPr>
      <w:r>
        <w:rPr>
          <w:rFonts w:cs="Arial" w:ascii="Arial" w:hAnsi="Arial"/>
          <w:sz w:val="22"/>
        </w:rPr>
        <w:t>Длъжностното лице по защита на данните / Отговорникът по защита на данните отговаря за обработката на всички искания на субекта на данни, обхванати от настоящата процедура.</w:t>
      </w:r>
    </w:p>
    <w:p>
      <w:pPr>
        <w:pStyle w:val="GDPRApisParts"/>
        <w:numPr>
          <w:ilvl w:val="0"/>
          <w:numId w:val="3"/>
        </w:numPr>
        <w:spacing w:lineRule="auto" w:line="240" w:before="240" w:after="240"/>
        <w:ind w:left="426" w:hanging="426"/>
        <w:rPr>
          <w:rFonts w:cs="Arial"/>
        </w:rPr>
      </w:pPr>
      <w:r>
        <w:rPr>
          <w:rFonts w:cs="Arial"/>
        </w:rPr>
        <w:t>Ход на процедурата</w:t>
      </w:r>
    </w:p>
    <w:p>
      <w:pPr>
        <w:pStyle w:val="Normal"/>
        <w:spacing w:before="0" w:after="120"/>
        <w:rPr/>
      </w:pPr>
      <w:r>
        <w:rPr>
          <w:rFonts w:cs="Arial" w:ascii="Arial" w:hAnsi="Arial"/>
          <w:sz w:val="22"/>
        </w:rPr>
        <w:t xml:space="preserve">Начините за подаването на искания до </w:t>
      </w:r>
      <w:r>
        <w:rPr>
          <w:rStyle w:val="SGDPRAdministratorNameChar"/>
          <w:rFonts w:cs="Arial" w:ascii="Arial" w:hAnsi="Arial"/>
          <w:sz w:val="22"/>
          <w:szCs w:val="22"/>
        </w:rPr>
        <w:t xml:space="preserve">(ПАТО ЕООД </w:t>
      </w:r>
      <w:r>
        <w:rPr>
          <w:rFonts w:cs="Arial" w:ascii="Arial" w:hAnsi="Arial"/>
          <w:sz w:val="22"/>
        </w:rPr>
        <w:t xml:space="preserve"> са описани в Процедура за начините на комуникация при жалби и искания от субекта на данни (GDPR_PROC_04)</w:t>
      </w:r>
      <w:r>
        <w:rPr>
          <w:rFonts w:cs="Arial" w:ascii="Arial" w:hAnsi="Arial"/>
          <w:b/>
          <w:sz w:val="22"/>
        </w:rPr>
        <w:t>.</w:t>
      </w:r>
      <w:r>
        <w:rPr>
          <w:rFonts w:cs="Arial" w:ascii="Arial" w:hAnsi="Arial"/>
          <w:sz w:val="22"/>
        </w:rPr>
        <w:t xml:space="preserve"> </w:t>
      </w:r>
    </w:p>
    <w:p>
      <w:pPr>
        <w:pStyle w:val="Normal"/>
        <w:spacing w:before="0" w:after="120"/>
        <w:rPr/>
      </w:pPr>
      <w:r>
        <w:rPr>
          <w:rStyle w:val="SGDPRAdministratorNameChar"/>
          <w:rFonts w:cs="Arial" w:ascii="Arial" w:hAnsi="Arial"/>
          <w:sz w:val="22"/>
          <w:szCs w:val="22"/>
        </w:rPr>
        <w:t xml:space="preserve">ПАТО ЕООД </w:t>
      </w:r>
      <w:r>
        <w:rPr>
          <w:rFonts w:cs="Arial" w:ascii="Arial" w:hAnsi="Arial"/>
          <w:sz w:val="22"/>
        </w:rPr>
        <w:t xml:space="preserve"> приема искания на субектите на данни извършени и по всеки друг начин, като спазва условията на настоящата процедура.</w:t>
      </w:r>
    </w:p>
    <w:p>
      <w:pPr>
        <w:pStyle w:val="ListParagraph"/>
        <w:keepNext/>
        <w:numPr>
          <w:ilvl w:val="0"/>
          <w:numId w:val="4"/>
        </w:numPr>
        <w:shd w:val="clear" w:color="auto" w:themeTint="0" w:themeShade="0" w:fill="FFFFFF" w:themeFill="background1" w:themeFillTint="0" w:themeFillShade="0"/>
        <w:spacing w:before="0" w:after="120"/>
        <w:ind w:left="426" w:hanging="426"/>
        <w:rPr>
          <w:rFonts w:ascii="Arial" w:hAnsi="Arial" w:cs="Arial"/>
          <w:b/>
          <w:b/>
          <w:lang w:val="bg-BG"/>
        </w:rPr>
      </w:pPr>
      <w:r>
        <w:rPr>
          <w:rFonts w:cs="Arial" w:ascii="Arial" w:hAnsi="Arial"/>
          <w:b/>
          <w:lang w:val="bg-BG"/>
        </w:rPr>
        <w:t>Отправяне на искане от субекта на данните</w:t>
      </w:r>
    </w:p>
    <w:p>
      <w:pPr>
        <w:pStyle w:val="Normal"/>
        <w:shd w:val="clear" w:color="auto" w:themeTint="0" w:themeShade="0" w:fill="FFFFFF" w:themeFill="background1" w:themeFillTint="0" w:themeFillShade="0"/>
        <w:spacing w:before="0" w:after="120"/>
        <w:rPr>
          <w:rFonts w:ascii="Arial" w:hAnsi="Arial" w:cs="Arial"/>
          <w:sz w:val="22"/>
          <w:szCs w:val="22"/>
        </w:rPr>
      </w:pPr>
      <w:r>
        <w:rPr>
          <w:rFonts w:cs="Arial" w:ascii="Arial" w:hAnsi="Arial"/>
          <w:sz w:val="22"/>
          <w:szCs w:val="22"/>
        </w:rPr>
        <w:t>Исканията се правят, като се използва Образец на форма за искане от субект на данните (GDPR_FORM_02). При отправянето на искане се спазват следните правила:</w:t>
      </w:r>
    </w:p>
    <w:p>
      <w:pPr>
        <w:pStyle w:val="ListParagraph"/>
        <w:numPr>
          <w:ilvl w:val="0"/>
          <w:numId w:val="1"/>
        </w:numPr>
        <w:spacing w:before="0" w:after="120"/>
        <w:ind w:left="851" w:hanging="425"/>
        <w:rPr/>
      </w:pPr>
      <w:r>
        <w:rPr>
          <w:rFonts w:cs="Arial" w:ascii="Arial" w:hAnsi="Arial"/>
          <w:sz w:val="22"/>
          <w:szCs w:val="22"/>
          <w:lang w:val="bg-BG"/>
        </w:rPr>
        <w:t>Субектът на данни указва конкретния вид искане, съдържащ се в образеца на формата, предоставена от ПАТО ЕООД</w:t>
      </w:r>
      <w:r>
        <w:rPr>
          <w:rStyle w:val="SGDPRAdministratorNameChar"/>
          <w:rFonts w:cs="Arial" w:ascii="Arial" w:hAnsi="Arial"/>
          <w:sz w:val="22"/>
          <w:szCs w:val="22"/>
          <w:lang w:val="bg-BG"/>
        </w:rPr>
        <w:t>)</w:t>
      </w:r>
      <w:r>
        <w:rPr>
          <w:rFonts w:cs="Arial" w:ascii="Arial" w:hAnsi="Arial"/>
          <w:sz w:val="22"/>
          <w:szCs w:val="22"/>
          <w:lang w:val="bg-BG"/>
        </w:rPr>
        <w:t>;</w:t>
      </w:r>
    </w:p>
    <w:p>
      <w:pPr>
        <w:pStyle w:val="ListParagraph"/>
        <w:numPr>
          <w:ilvl w:val="0"/>
          <w:numId w:val="1"/>
        </w:numPr>
        <w:spacing w:before="0" w:after="120"/>
        <w:ind w:left="851" w:hanging="425"/>
        <w:rPr/>
      </w:pPr>
      <w:r>
        <w:rPr>
          <w:rFonts w:cs="Arial" w:ascii="Arial" w:hAnsi="Arial"/>
          <w:sz w:val="22"/>
          <w:szCs w:val="22"/>
          <w:lang w:val="bg-BG"/>
        </w:rPr>
        <w:t xml:space="preserve">Субектът на данните може да поиска всички негови лични данни, съхранявани от </w:t>
      </w: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без да указва конкретен вид;</w:t>
      </w:r>
    </w:p>
    <w:p>
      <w:pPr>
        <w:pStyle w:val="ListParagraph"/>
        <w:numPr>
          <w:ilvl w:val="0"/>
          <w:numId w:val="1"/>
        </w:numPr>
        <w:spacing w:before="0" w:after="120"/>
        <w:ind w:left="851" w:hanging="425"/>
        <w:rPr/>
      </w:pPr>
      <w:r>
        <w:rPr>
          <w:rFonts w:cs="Arial" w:ascii="Arial" w:hAnsi="Arial"/>
          <w:sz w:val="22"/>
          <w:szCs w:val="22"/>
          <w:lang w:val="bg-BG"/>
        </w:rPr>
        <w:t xml:space="preserve">Субектът на данните предоставя на </w:t>
      </w: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данни за самоличността си, които да го идентифицират сигурно и еднозначно (данни от лични документи, клиентски номер, електронна идентификационна карта и т.н).</w:t>
      </w:r>
    </w:p>
    <w:p>
      <w:pPr>
        <w:pStyle w:val="ListParagraph"/>
        <w:numPr>
          <w:ilvl w:val="0"/>
          <w:numId w:val="1"/>
        </w:numPr>
        <w:spacing w:before="0" w:after="120"/>
        <w:ind w:left="851" w:hanging="425"/>
        <w:rPr/>
      </w:pP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задължително проверява идентификационните данни, за да се увери, че искането е подадено от субекта, който данните идентифицират;</w:t>
      </w:r>
    </w:p>
    <w:p>
      <w:pPr>
        <w:pStyle w:val="ListParagraph"/>
        <w:numPr>
          <w:ilvl w:val="0"/>
          <w:numId w:val="1"/>
        </w:numPr>
        <w:spacing w:before="0" w:after="120"/>
        <w:ind w:left="851" w:hanging="425"/>
        <w:rPr/>
      </w:pP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документира датата на получаване на искането;</w:t>
      </w:r>
    </w:p>
    <w:p>
      <w:pPr>
        <w:pStyle w:val="ListParagraph"/>
        <w:numPr>
          <w:ilvl w:val="0"/>
          <w:numId w:val="1"/>
        </w:numPr>
        <w:spacing w:before="0" w:after="120"/>
        <w:ind w:left="851" w:hanging="425"/>
        <w:rPr>
          <w:rFonts w:ascii="Arial" w:hAnsi="Arial" w:cs="Arial"/>
          <w:sz w:val="22"/>
          <w:szCs w:val="22"/>
          <w:lang w:val="bg-BG"/>
        </w:rPr>
      </w:pPr>
      <w:r>
        <w:rPr>
          <w:rFonts w:cs="Arial" w:ascii="Arial" w:hAnsi="Arial"/>
          <w:sz w:val="22"/>
          <w:szCs w:val="22"/>
          <w:lang w:val="bg-BG"/>
        </w:rPr>
        <w:t>След като искането бъде получено, то незабавно се препраща до Длъжностното лице по защита на данните / Отговорника по защита на данните, който задвижва процеса по обработка на искането и изпращането на отговор на субекта на данните.</w:t>
      </w:r>
    </w:p>
    <w:p>
      <w:pPr>
        <w:pStyle w:val="ListParagraph"/>
        <w:keepNext/>
        <w:numPr>
          <w:ilvl w:val="0"/>
          <w:numId w:val="4"/>
        </w:numPr>
        <w:shd w:val="clear" w:color="auto" w:themeTint="0" w:themeShade="0" w:fill="FFFFFF" w:themeFill="background1" w:themeFillTint="0" w:themeFillShade="0"/>
        <w:spacing w:before="0" w:after="120"/>
        <w:ind w:left="426" w:hanging="426"/>
        <w:rPr>
          <w:rFonts w:ascii="Arial" w:hAnsi="Arial" w:cs="Arial"/>
          <w:b/>
          <w:b/>
          <w:lang w:val="bg-BG"/>
        </w:rPr>
      </w:pPr>
      <w:r>
        <w:rPr>
          <w:rFonts w:cs="Arial" w:ascii="Arial" w:hAnsi="Arial"/>
          <w:b/>
          <w:lang w:val="bg-BG"/>
        </w:rPr>
        <w:t>Обработка на искането</w:t>
      </w:r>
    </w:p>
    <w:p>
      <w:pPr>
        <w:pStyle w:val="Normal"/>
        <w:shd w:val="clear" w:color="auto" w:themeTint="0" w:themeShade="0" w:fill="FFFFFF" w:themeFill="background1" w:themeFillTint="0" w:themeFillShade="0"/>
        <w:spacing w:before="0" w:after="120"/>
        <w:rPr>
          <w:rFonts w:ascii="Arial" w:hAnsi="Arial" w:cs="Arial"/>
          <w:sz w:val="22"/>
          <w:szCs w:val="22"/>
        </w:rPr>
      </w:pPr>
      <w:r>
        <w:rPr>
          <w:rFonts w:cs="Arial" w:ascii="Arial" w:hAnsi="Arial"/>
          <w:sz w:val="22"/>
        </w:rPr>
        <w:t xml:space="preserve">Обработката на </w:t>
      </w:r>
      <w:r>
        <w:rPr>
          <w:rFonts w:cs="Arial" w:ascii="Arial" w:hAnsi="Arial"/>
          <w:sz w:val="22"/>
          <w:szCs w:val="22"/>
        </w:rPr>
        <w:t>искането се извършва по следния начин:</w:t>
      </w:r>
      <w:r>
        <w:rPr>
          <w:rStyle w:val="Style13"/>
          <w:rFonts w:cs="Arial" w:ascii="Arial" w:hAnsi="Arial"/>
          <w:sz w:val="22"/>
          <w:szCs w:val="22"/>
        </w:rPr>
        <w:footnoteReference w:id="2"/>
      </w:r>
    </w:p>
    <w:p>
      <w:pPr>
        <w:pStyle w:val="ListParagraph"/>
        <w:numPr>
          <w:ilvl w:val="0"/>
          <w:numId w:val="5"/>
        </w:numPr>
        <w:spacing w:before="0" w:after="120"/>
        <w:rPr/>
      </w:pPr>
      <w:r>
        <w:rPr>
          <w:rFonts w:cs="Arial" w:ascii="Arial" w:hAnsi="Arial"/>
          <w:sz w:val="22"/>
          <w:szCs w:val="22"/>
          <w:lang w:val="bg-BG"/>
        </w:rPr>
        <w:t xml:space="preserve"> </w:t>
      </w:r>
      <w:r>
        <w:rPr>
          <w:rFonts w:cs="Arial" w:ascii="Arial" w:hAnsi="Arial"/>
          <w:sz w:val="22"/>
          <w:szCs w:val="22"/>
          <w:lang w:val="bg-BG"/>
        </w:rPr>
        <w:t>Длъжностното лице по защита на данните / Отговорникът по защита на данните   поддържа Регистър на исканията от субекти на данни</w:t>
      </w:r>
      <w:r>
        <w:rPr>
          <w:rFonts w:cs="Arial" w:ascii="Arial" w:hAnsi="Arial"/>
          <w:b/>
          <w:bCs/>
          <w:sz w:val="22"/>
          <w:szCs w:val="22"/>
          <w:lang w:val="bg-BG"/>
        </w:rPr>
        <w:t>;</w:t>
      </w:r>
    </w:p>
    <w:p>
      <w:pPr>
        <w:pStyle w:val="ListParagraph"/>
        <w:numPr>
          <w:ilvl w:val="0"/>
          <w:numId w:val="5"/>
        </w:numPr>
        <w:spacing w:before="0" w:after="120"/>
        <w:rPr/>
      </w:pPr>
      <w:r>
        <w:rPr>
          <w:rFonts w:cs="Arial" w:ascii="Arial" w:hAnsi="Arial"/>
          <w:sz w:val="22"/>
          <w:szCs w:val="22"/>
          <w:lang w:val="bg-BG"/>
        </w:rPr>
        <w:t>Длъжностното лице по защита на данните / Отговорникът по защита на данните вписва в Регистъра на исканията от субекти на данните датата, идентифициращата информация и всички други важни за разглеждане на искането данни;</w:t>
      </w:r>
    </w:p>
    <w:p>
      <w:pPr>
        <w:pStyle w:val="ListParagraph"/>
        <w:numPr>
          <w:ilvl w:val="0"/>
          <w:numId w:val="1"/>
        </w:numPr>
        <w:spacing w:before="0" w:after="120"/>
        <w:ind w:left="851" w:hanging="425"/>
        <w:rPr>
          <w:rFonts w:ascii="Arial" w:hAnsi="Arial" w:cs="Arial"/>
          <w:sz w:val="22"/>
          <w:szCs w:val="22"/>
          <w:lang w:val="bg-BG"/>
        </w:rPr>
      </w:pPr>
      <w:r>
        <w:rPr>
          <w:rFonts w:cs="Arial" w:ascii="Arial" w:hAnsi="Arial"/>
          <w:sz w:val="22"/>
          <w:szCs w:val="22"/>
          <w:lang w:val="bg-BG"/>
        </w:rPr>
        <w:t xml:space="preserve">Идентифицирането (търсенето) на личните данни се извършва във всички хранилища на данни и всички съответни системи за архивиране, включително всички архивирани файлове (автоматични или ръчни архиви) и всички папки на електронната поща и техните архиви. </w:t>
      </w:r>
    </w:p>
    <w:p>
      <w:pPr>
        <w:pStyle w:val="ListParagraph"/>
        <w:numPr>
          <w:ilvl w:val="0"/>
          <w:numId w:val="1"/>
        </w:numPr>
        <w:spacing w:before="0" w:after="120"/>
        <w:ind w:left="851" w:hanging="425"/>
        <w:rPr/>
      </w:pPr>
      <w:r>
        <w:rPr>
          <w:rFonts w:cs="Arial" w:ascii="Arial" w:hAnsi="Arial"/>
          <w:sz w:val="22"/>
          <w:szCs w:val="22"/>
          <w:lang w:val="bg-BG"/>
        </w:rPr>
        <w:t>Когато искането е за достъп до информация, при предаването на копие от информацията Длъжностното лице по защита на данните / Отговорникът по защита на данните извършва обработване на данните с цел отстраняване на евентуална идентификационна информация за трети лица.</w:t>
      </w:r>
    </w:p>
    <w:p>
      <w:pPr>
        <w:pStyle w:val="ListParagraph"/>
        <w:numPr>
          <w:ilvl w:val="0"/>
          <w:numId w:val="1"/>
        </w:numPr>
        <w:spacing w:before="0" w:after="120"/>
        <w:ind w:left="851" w:hanging="425"/>
        <w:rPr/>
      </w:pPr>
      <w:r>
        <w:rPr>
          <w:rFonts w:cs="Arial" w:ascii="Arial" w:hAnsi="Arial"/>
          <w:sz w:val="22"/>
          <w:szCs w:val="22"/>
          <w:lang w:val="bg-BG"/>
        </w:rPr>
        <w:t>ПАТО ЕООД предоставя исканата информация и отговаря на исканията на субекта на данните в ра</w:t>
      </w:r>
      <w:bookmarkStart w:id="0" w:name="_GoBack"/>
      <w:bookmarkEnd w:id="0"/>
      <w:r>
        <w:rPr>
          <w:rFonts w:cs="Arial" w:ascii="Arial" w:hAnsi="Arial"/>
          <w:sz w:val="22"/>
          <w:szCs w:val="22"/>
          <w:lang w:val="bg-BG"/>
        </w:rPr>
        <w:t>мките най-късно на един месец от датата на получаване на искането за достъп.</w:t>
      </w:r>
    </w:p>
    <w:p>
      <w:pPr>
        <w:pStyle w:val="ListParagraph"/>
        <w:numPr>
          <w:ilvl w:val="0"/>
          <w:numId w:val="1"/>
        </w:numPr>
        <w:spacing w:before="0" w:after="120"/>
        <w:rPr/>
      </w:pPr>
      <w:r>
        <w:rPr>
          <w:rFonts w:cs="Arial" w:ascii="Arial" w:hAnsi="Arial"/>
          <w:sz w:val="22"/>
          <w:szCs w:val="22"/>
          <w:lang w:val="bg-BG"/>
        </w:rPr>
        <w:t>Длъжностното лице за защита на данните / Отговорникът за защита на данните вписва в Регистър на исканията  данни за подадения към субекта отговор на искането за достъп.</w:t>
      </w:r>
    </w:p>
    <w:p>
      <w:pPr>
        <w:pStyle w:val="ListParagraph"/>
        <w:keepNext/>
        <w:numPr>
          <w:ilvl w:val="0"/>
          <w:numId w:val="4"/>
        </w:numPr>
        <w:shd w:val="clear" w:color="auto" w:themeTint="0" w:themeShade="0" w:fill="FFFFFF" w:themeFill="background1" w:themeFillTint="0" w:themeFillShade="0"/>
        <w:spacing w:before="0" w:after="120"/>
        <w:ind w:left="426" w:hanging="426"/>
        <w:rPr>
          <w:rFonts w:ascii="Arial" w:hAnsi="Arial" w:cs="Arial"/>
          <w:b/>
          <w:b/>
          <w:lang w:val="bg-BG"/>
        </w:rPr>
      </w:pPr>
      <w:r>
        <w:rPr>
          <w:rFonts w:cs="Arial" w:ascii="Arial" w:hAnsi="Arial"/>
          <w:b/>
          <w:lang w:val="bg-BG"/>
        </w:rPr>
        <w:t xml:space="preserve">Допълнителна информация, изпращана при искане за достъп </w:t>
      </w:r>
    </w:p>
    <w:p>
      <w:pPr>
        <w:pStyle w:val="Normal"/>
        <w:shd w:val="clear" w:color="auto" w:themeTint="0" w:themeShade="0" w:fill="FFFFFF" w:themeFill="background1" w:themeFillTint="0" w:themeFillShade="0"/>
        <w:spacing w:before="0" w:after="120"/>
        <w:rPr/>
      </w:pPr>
      <w:r>
        <w:rPr>
          <w:rFonts w:cs="Arial" w:ascii="Arial" w:hAnsi="Arial"/>
          <w:sz w:val="22"/>
        </w:rPr>
        <w:t>В случай на искане от субекта на данни за получаване на достъп до данните, освен че осигурява достъп до данните (например, чрез предоставяне на тяхно копие), ПАТО ЕООД</w:t>
      </w:r>
      <w:r>
        <w:rPr>
          <w:rStyle w:val="SGDPRAdministratorNameChar"/>
          <w:rFonts w:cs="Arial" w:ascii="Arial" w:hAnsi="Arial"/>
          <w:sz w:val="22"/>
          <w:szCs w:val="22"/>
        </w:rPr>
        <w:t xml:space="preserve"> </w:t>
      </w:r>
      <w:r>
        <w:rPr>
          <w:rFonts w:cs="Arial" w:ascii="Arial" w:hAnsi="Arial"/>
          <w:sz w:val="22"/>
        </w:rPr>
        <w:t>изпраща на субекта и следната информация:</w:t>
      </w:r>
    </w:p>
    <w:p>
      <w:pPr>
        <w:pStyle w:val="ListParagraph"/>
        <w:numPr>
          <w:ilvl w:val="0"/>
          <w:numId w:val="1"/>
        </w:numPr>
        <w:spacing w:before="0" w:after="120"/>
        <w:ind w:left="851" w:hanging="425"/>
        <w:rPr>
          <w:rFonts w:ascii="Arial" w:hAnsi="Arial" w:cs="Arial"/>
          <w:sz w:val="22"/>
          <w:szCs w:val="22"/>
          <w:lang w:val="bg-BG"/>
        </w:rPr>
      </w:pPr>
      <w:r>
        <w:rPr>
          <w:rFonts w:cs="Arial" w:ascii="Arial" w:hAnsi="Arial"/>
          <w:sz w:val="22"/>
          <w:szCs w:val="22"/>
          <w:lang w:val="bg-BG"/>
        </w:rPr>
        <w:t>целите на обработването;</w:t>
      </w:r>
    </w:p>
    <w:p>
      <w:pPr>
        <w:pStyle w:val="ListParagraph"/>
        <w:numPr>
          <w:ilvl w:val="0"/>
          <w:numId w:val="1"/>
        </w:numPr>
        <w:spacing w:before="0" w:after="120"/>
        <w:ind w:left="851" w:hanging="425"/>
        <w:rPr>
          <w:rFonts w:ascii="Arial" w:hAnsi="Arial" w:cs="Arial"/>
          <w:sz w:val="22"/>
          <w:szCs w:val="22"/>
          <w:lang w:val="bg-BG"/>
        </w:rPr>
      </w:pPr>
      <w:r>
        <w:rPr>
          <w:rFonts w:cs="Arial" w:ascii="Arial" w:hAnsi="Arial"/>
          <w:sz w:val="22"/>
          <w:szCs w:val="22"/>
          <w:lang w:val="bg-BG"/>
        </w:rPr>
        <w:t>съответните категории лични данни;</w:t>
      </w:r>
    </w:p>
    <w:p>
      <w:pPr>
        <w:pStyle w:val="ListParagraph"/>
        <w:numPr>
          <w:ilvl w:val="0"/>
          <w:numId w:val="1"/>
        </w:numPr>
        <w:spacing w:before="0" w:after="120"/>
        <w:ind w:left="851" w:hanging="425"/>
        <w:rPr>
          <w:rFonts w:ascii="Arial" w:hAnsi="Arial" w:cs="Arial"/>
          <w:sz w:val="22"/>
          <w:szCs w:val="22"/>
          <w:lang w:val="bg-BG"/>
        </w:rPr>
      </w:pPr>
      <w:r>
        <w:rPr>
          <w:rFonts w:cs="Arial" w:ascii="Arial" w:hAnsi="Arial"/>
          <w:sz w:val="22"/>
          <w:szCs w:val="22"/>
          <w:lang w:val="bg-BG"/>
        </w:rPr>
        <w:t>получателите или категориите получатели на личните данни (ако има такива);</w:t>
      </w:r>
    </w:p>
    <w:p>
      <w:pPr>
        <w:pStyle w:val="ListParagraph"/>
        <w:numPr>
          <w:ilvl w:val="0"/>
          <w:numId w:val="1"/>
        </w:numPr>
        <w:spacing w:before="0" w:after="120"/>
        <w:ind w:left="851" w:hanging="425"/>
        <w:rPr/>
      </w:pPr>
      <w:r>
        <w:rPr>
          <w:rFonts w:cs="Arial" w:ascii="Arial" w:hAnsi="Arial"/>
          <w:sz w:val="22"/>
          <w:szCs w:val="22"/>
          <w:lang w:val="bg-BG"/>
        </w:rPr>
        <w:t>информация относно намерението на ПАТО ЕООД</w:t>
      </w:r>
      <w:r>
        <w:rPr>
          <w:rStyle w:val="SGDPRAdministratorNameChar"/>
          <w:rFonts w:cs="Arial" w:ascii="Arial" w:hAnsi="Arial"/>
          <w:sz w:val="22"/>
          <w:szCs w:val="22"/>
          <w:lang w:val="bg-BG"/>
        </w:rPr>
        <w:t xml:space="preserve"> </w:t>
      </w:r>
      <w:r>
        <w:rPr>
          <w:rFonts w:cs="Arial" w:ascii="Arial" w:hAnsi="Arial"/>
          <w:sz w:val="22"/>
          <w:szCs w:val="22"/>
          <w:lang w:val="bg-BG"/>
        </w:rPr>
        <w:t xml:space="preserve"> да предаде данните на трета държава или на международна организация, както и наличието на гаранции за защита на данните;</w:t>
      </w:r>
    </w:p>
    <w:p>
      <w:pPr>
        <w:pStyle w:val="ListParagraph"/>
        <w:numPr>
          <w:ilvl w:val="0"/>
          <w:numId w:val="1"/>
        </w:numPr>
        <w:spacing w:before="0" w:after="120"/>
        <w:ind w:left="851" w:hanging="425"/>
        <w:rPr/>
      </w:pPr>
      <w:r>
        <w:rPr>
          <w:rFonts w:cs="Arial" w:ascii="Arial" w:hAnsi="Arial"/>
          <w:sz w:val="22"/>
          <w:szCs w:val="22"/>
          <w:lang w:val="bg-BG"/>
        </w:rPr>
        <w:t>срока, за който ПАТО ЕООД ще съхранява личните данни, а ако това е невъзможно, критериите, използвани за определяне на този срок;</w:t>
      </w:r>
    </w:p>
    <w:p>
      <w:pPr>
        <w:pStyle w:val="ListParagraph"/>
        <w:numPr>
          <w:ilvl w:val="0"/>
          <w:numId w:val="1"/>
        </w:numPr>
        <w:spacing w:before="0" w:after="120"/>
        <w:ind w:left="851" w:hanging="425"/>
        <w:rPr/>
      </w:pPr>
      <w:r>
        <w:rPr>
          <w:rFonts w:cs="Arial" w:ascii="Arial" w:hAnsi="Arial"/>
          <w:sz w:val="22"/>
          <w:szCs w:val="22"/>
          <w:lang w:val="bg-BG"/>
        </w:rPr>
        <w:t>правата му да се изиска от ПАТО ЕООД коригиране или изтриване на неговите лични данни, както и правата му на ограничаване на обработването, на възражение срещу обработването, както и на преносимост на данните;</w:t>
      </w:r>
    </w:p>
    <w:p>
      <w:pPr>
        <w:pStyle w:val="ListParagraph"/>
        <w:numPr>
          <w:ilvl w:val="0"/>
          <w:numId w:val="1"/>
        </w:numPr>
        <w:spacing w:before="0" w:after="120"/>
        <w:ind w:left="851" w:hanging="425"/>
        <w:rPr>
          <w:rFonts w:ascii="Arial" w:hAnsi="Arial" w:cs="Arial"/>
          <w:sz w:val="22"/>
          <w:szCs w:val="22"/>
          <w:lang w:val="bg-BG"/>
        </w:rPr>
      </w:pPr>
      <w:r>
        <w:rPr>
          <w:rFonts w:cs="Arial" w:ascii="Arial" w:hAnsi="Arial"/>
          <w:sz w:val="22"/>
          <w:szCs w:val="22"/>
          <w:lang w:val="bg-BG"/>
        </w:rPr>
        <w:t>правото на жалба до надзорен орган;</w:t>
      </w:r>
    </w:p>
    <w:p>
      <w:pPr>
        <w:pStyle w:val="ListParagraph"/>
        <w:numPr>
          <w:ilvl w:val="0"/>
          <w:numId w:val="1"/>
        </w:numPr>
        <w:spacing w:before="0" w:after="120"/>
        <w:ind w:left="851" w:hanging="425"/>
        <w:rPr>
          <w:rFonts w:ascii="Arial" w:hAnsi="Arial" w:cs="Arial"/>
          <w:sz w:val="22"/>
          <w:szCs w:val="22"/>
          <w:lang w:val="bg-BG"/>
        </w:rPr>
      </w:pPr>
      <w:r>
        <w:rPr>
          <w:rFonts w:cs="Arial" w:ascii="Arial" w:hAnsi="Arial"/>
          <w:sz w:val="22"/>
          <w:szCs w:val="22"/>
          <w:lang w:val="bg-BG"/>
        </w:rPr>
        <w:t>когато личните данни не се събират от субекта на данните, всякаква налична информация за техния източник;</w:t>
      </w:r>
    </w:p>
    <w:p>
      <w:pPr>
        <w:pStyle w:val="ListParagraph"/>
        <w:numPr>
          <w:ilvl w:val="0"/>
          <w:numId w:val="1"/>
        </w:numPr>
        <w:spacing w:before="0" w:after="120"/>
        <w:ind w:left="851" w:hanging="425"/>
        <w:rPr>
          <w:rFonts w:ascii="Arial" w:hAnsi="Arial" w:cs="Arial"/>
          <w:sz w:val="22"/>
          <w:szCs w:val="22"/>
          <w:lang w:val="bg-BG"/>
        </w:rPr>
      </w:pPr>
      <w:r>
        <w:rPr>
          <w:rFonts w:cs="Arial" w:ascii="Arial" w:hAnsi="Arial"/>
          <w:sz w:val="22"/>
          <w:szCs w:val="22"/>
          <w:lang w:val="bg-BG"/>
        </w:rPr>
        <w:t>наличие на автоматизирано вземане на решения, включително профилиране, както и предвидените последствия от това обработване за субекта на данните.</w:t>
      </w:r>
    </w:p>
    <w:p>
      <w:pPr>
        <w:pStyle w:val="Normal"/>
        <w:spacing w:before="0" w:after="120"/>
        <w:rPr>
          <w:rFonts w:ascii="Arial" w:hAnsi="Arial" w:eastAsia="Times New Roman" w:cs="Arial"/>
          <w:sz w:val="22"/>
          <w:lang w:eastAsia="en-GB"/>
        </w:rPr>
      </w:pPr>
      <w:r>
        <w:rPr>
          <w:rFonts w:cs="Arial" w:ascii="Arial" w:hAnsi="Arial"/>
          <w:sz w:val="22"/>
        </w:rPr>
        <w:t>Когато исканията на субект на данни са явно неоснователни или прекомерни, по-</w:t>
      </w:r>
      <w:r>
        <w:rPr>
          <w:rFonts w:eastAsia="Times New Roman" w:cs="Arial" w:ascii="Arial" w:hAnsi="Arial"/>
          <w:sz w:val="22"/>
          <w:lang w:eastAsia="en-GB"/>
        </w:rPr>
        <w:t xml:space="preserve">специално поради своята повторяемост, Длъжностното лице по защита на данните / Отговорника по защита на данните може: </w:t>
      </w:r>
    </w:p>
    <w:p>
      <w:pPr>
        <w:pStyle w:val="ListParagraph"/>
        <w:numPr>
          <w:ilvl w:val="0"/>
          <w:numId w:val="1"/>
        </w:numPr>
        <w:spacing w:before="0" w:after="120"/>
        <w:ind w:left="851" w:hanging="425"/>
        <w:rPr/>
      </w:pPr>
      <w:r>
        <w:rPr>
          <w:rFonts w:cs="Arial" w:ascii="Arial" w:hAnsi="Arial"/>
          <w:sz w:val="22"/>
          <w:szCs w:val="22"/>
          <w:lang w:val="bg-BG"/>
        </w:rPr>
        <w:t>да предложи на ръководството на ПАТО ЕООД да наложи разумна такса, като взема предвид административните разходи за предоставяне на информацията или комуникацията или предприемането на исканите действия;</w:t>
      </w:r>
    </w:p>
    <w:p>
      <w:pPr>
        <w:pStyle w:val="ListParagraph"/>
        <w:numPr>
          <w:ilvl w:val="0"/>
          <w:numId w:val="1"/>
        </w:numPr>
        <w:spacing w:before="0" w:after="120"/>
        <w:ind w:left="851" w:hanging="425"/>
        <w:rPr>
          <w:rFonts w:ascii="Arial" w:hAnsi="Arial" w:cs="Arial"/>
          <w:sz w:val="22"/>
          <w:szCs w:val="22"/>
          <w:lang w:val="bg-BG"/>
        </w:rPr>
      </w:pPr>
      <w:r>
        <w:rPr>
          <w:rFonts w:cs="Arial" w:ascii="Arial" w:hAnsi="Arial"/>
          <w:sz w:val="22"/>
          <w:szCs w:val="22"/>
          <w:lang w:val="bg-BG"/>
        </w:rPr>
        <w:t>да откаже да предприеме действия по искането.</w:t>
      </w:r>
    </w:p>
    <w:p>
      <w:pPr>
        <w:pStyle w:val="ListParagraph"/>
        <w:keepNext/>
        <w:numPr>
          <w:ilvl w:val="0"/>
          <w:numId w:val="4"/>
        </w:numPr>
        <w:shd w:val="clear" w:color="auto" w:themeTint="0" w:themeShade="0" w:fill="FFFFFF" w:themeFill="background1" w:themeFillTint="0" w:themeFillShade="0"/>
        <w:spacing w:before="0" w:after="120"/>
        <w:ind w:left="426" w:hanging="426"/>
        <w:rPr>
          <w:rFonts w:ascii="Arial" w:hAnsi="Arial" w:cs="Arial"/>
          <w:b/>
          <w:b/>
          <w:lang w:val="bg-BG"/>
        </w:rPr>
      </w:pPr>
      <w:r>
        <w:rPr>
          <w:rFonts w:cs="Arial" w:ascii="Arial" w:hAnsi="Arial"/>
          <w:b/>
          <w:lang w:val="bg-BG"/>
        </w:rPr>
        <w:t>Действия при искания за коригиране, изтриване или ограничаване и при възражения срещу обработването</w:t>
      </w:r>
    </w:p>
    <w:p>
      <w:pPr>
        <w:pStyle w:val="Normal"/>
        <w:shd w:val="clear" w:color="auto" w:themeTint="0" w:themeShade="0" w:fill="FFFFFF" w:themeFill="background1" w:themeFillTint="0" w:themeFillShade="0"/>
        <w:spacing w:before="0" w:after="120"/>
        <w:rPr>
          <w:rFonts w:ascii="Arial" w:hAnsi="Arial" w:cs="Arial"/>
          <w:sz w:val="22"/>
        </w:rPr>
      </w:pPr>
      <w:r>
        <w:rPr>
          <w:rFonts w:cs="Arial" w:ascii="Arial" w:hAnsi="Arial"/>
          <w:sz w:val="22"/>
        </w:rPr>
        <w:t xml:space="preserve">При искане на субекта на данни за коригиране, изтриване, ограничаване или при възражение по отношение на обработваните лични данни Длъжностното лице по защита на данните / Отговорникът за защита на данните отговаря да бъде преценено всяко от тези искания (извън искането за достъп до данни) с оглед основателността на правото на субекта и наличието на други законови изисквания за неговото удовлетворяване. </w:t>
      </w:r>
    </w:p>
    <w:p>
      <w:pPr>
        <w:pStyle w:val="Normal"/>
        <w:shd w:val="clear" w:color="auto" w:themeTint="0" w:themeShade="0" w:fill="FFFFFF" w:themeFill="background1" w:themeFillTint="0" w:themeFillShade="0"/>
        <w:spacing w:before="0" w:after="120"/>
        <w:rPr>
          <w:rFonts w:ascii="Arial" w:hAnsi="Arial" w:cs="Arial"/>
          <w:sz w:val="22"/>
        </w:rPr>
      </w:pPr>
      <w:r>
        <w:rPr>
          <w:rFonts w:cs="Arial" w:ascii="Arial" w:hAnsi="Arial"/>
          <w:sz w:val="22"/>
        </w:rPr>
        <w:t>След постъпването на съответното искане:</w:t>
      </w:r>
    </w:p>
    <w:p>
      <w:pPr>
        <w:pStyle w:val="ListParagraph"/>
        <w:numPr>
          <w:ilvl w:val="0"/>
          <w:numId w:val="1"/>
        </w:numPr>
        <w:spacing w:before="0" w:after="120"/>
        <w:ind w:left="851" w:hanging="425"/>
        <w:rPr/>
      </w:pPr>
      <w:r>
        <w:rPr>
          <w:rStyle w:val="SGDPRAdministratorNameChar"/>
          <w:rFonts w:cs="Arial" w:ascii="Arial" w:hAnsi="Arial"/>
          <w:sz w:val="22"/>
          <w:szCs w:val="22"/>
          <w:lang w:val="bg-BG"/>
        </w:rPr>
        <w:t>ПАТО ЕООД</w:t>
      </w:r>
      <w:r>
        <w:rPr>
          <w:rFonts w:cs="Arial" w:ascii="Arial" w:hAnsi="Arial"/>
          <w:sz w:val="22"/>
          <w:szCs w:val="22"/>
          <w:lang w:val="bg-BG"/>
        </w:rPr>
        <w:t xml:space="preserve"> премахва личните данни от системите и прекратява операциите по обработката им, без ненужно забавяне, ако искането за изтриване е подадено от субекта на данните;</w:t>
      </w:r>
    </w:p>
    <w:p>
      <w:pPr>
        <w:pStyle w:val="ListParagraph"/>
        <w:numPr>
          <w:ilvl w:val="0"/>
          <w:numId w:val="1"/>
        </w:numPr>
        <w:spacing w:before="0" w:after="120"/>
        <w:ind w:left="851" w:hanging="425"/>
        <w:rPr/>
      </w:pPr>
      <w:r>
        <w:rPr>
          <w:rFonts w:cs="Arial" w:ascii="Arial" w:hAnsi="Arial"/>
          <w:sz w:val="22"/>
          <w:szCs w:val="22"/>
          <w:lang w:val="bg-BG"/>
        </w:rPr>
        <w:t>ПАТО ЕООД съобщава чрез хартиен или електронен носител, на адрес или по телефона за всяко извършено коригиране, изтриване или ограничаване на обработването на всеки получател, на когото личните данни са били разкрити ;</w:t>
      </w:r>
    </w:p>
    <w:p>
      <w:pPr>
        <w:pStyle w:val="ListParagraph"/>
        <w:numPr>
          <w:ilvl w:val="0"/>
          <w:numId w:val="1"/>
        </w:numPr>
        <w:spacing w:before="0" w:after="120"/>
        <w:ind w:left="851" w:hanging="425"/>
        <w:rPr/>
      </w:pPr>
      <w:r>
        <w:rPr>
          <w:rStyle w:val="SGDPRAdministratorNameChar"/>
          <w:rFonts w:cs="Arial" w:ascii="Arial" w:hAnsi="Arial"/>
          <w:sz w:val="22"/>
          <w:szCs w:val="22"/>
          <w:lang w:eastAsia="en-GB" w:bidi="ar-SA"/>
        </w:rPr>
        <w:t>ПАТО ЕООД</w:t>
      </w:r>
      <w:r>
        <w:rPr>
          <w:rFonts w:eastAsia="Times New Roman" w:ascii="Arial" w:hAnsi="Arial"/>
          <w:color w:val="00000A"/>
          <w:sz w:val="22"/>
          <w:szCs w:val="22"/>
          <w:lang w:eastAsia="en-GB" w:bidi="ar-SA"/>
        </w:rPr>
        <w:t xml:space="preserve"> информира субекта на данните относно тези получатели, ако субектът на данните поиска това, и документира това съобщение;</w:t>
      </w:r>
    </w:p>
    <w:p>
      <w:pPr>
        <w:pStyle w:val="ListParagraph"/>
        <w:numPr>
          <w:ilvl w:val="0"/>
          <w:numId w:val="1"/>
        </w:numPr>
        <w:spacing w:before="0" w:after="120"/>
        <w:ind w:left="851" w:hanging="425"/>
        <w:rPr/>
      </w:pPr>
      <w:r>
        <w:rPr>
          <w:rStyle w:val="SGDPRAdministratorNameChar"/>
          <w:rFonts w:cs="Arial" w:ascii="Arial" w:hAnsi="Arial"/>
          <w:sz w:val="22"/>
          <w:szCs w:val="22"/>
          <w:lang w:val="bg-BG"/>
        </w:rPr>
        <w:t>ПАТО ЕООД</w:t>
      </w:r>
      <w:r>
        <w:rPr>
          <w:rFonts w:cs="Arial" w:ascii="Arial" w:hAnsi="Arial"/>
          <w:sz w:val="22"/>
          <w:szCs w:val="22"/>
          <w:lang w:val="bg-BG"/>
        </w:rPr>
        <w:t xml:space="preserve"> взема подходящи мерки, без ненужно забавяне, в случай че:</w:t>
      </w:r>
    </w:p>
    <w:p>
      <w:pPr>
        <w:pStyle w:val="ListParagraph"/>
        <w:numPr>
          <w:ilvl w:val="0"/>
          <w:numId w:val="2"/>
        </w:numPr>
        <w:shd w:val="clear" w:color="auto" w:themeTint="0" w:themeShade="0" w:fill="FFFFFF" w:themeFill="background1" w:themeFillTint="0" w:themeFillShade="0"/>
        <w:spacing w:before="0" w:after="120"/>
        <w:ind w:left="1418" w:hanging="425"/>
        <w:rPr>
          <w:rFonts w:ascii="Arial" w:hAnsi="Arial" w:cs="Arial"/>
          <w:sz w:val="22"/>
          <w:szCs w:val="22"/>
          <w:lang w:val="bg-BG"/>
        </w:rPr>
      </w:pPr>
      <w:r>
        <w:rPr>
          <w:rFonts w:cs="Arial" w:ascii="Arial" w:hAnsi="Arial"/>
          <w:sz w:val="22"/>
          <w:szCs w:val="22"/>
          <w:lang w:val="bg-BG"/>
        </w:rPr>
        <w:t>субектът на данни е подал искане, с което възразява срещу обработването на личните данни изцяло или частично;</w:t>
      </w:r>
    </w:p>
    <w:p>
      <w:pPr>
        <w:pStyle w:val="ListParagraph"/>
        <w:numPr>
          <w:ilvl w:val="0"/>
          <w:numId w:val="2"/>
        </w:numPr>
        <w:shd w:val="clear" w:color="auto" w:themeTint="0" w:themeShade="0" w:fill="FFFFFF" w:themeFill="background1" w:themeFillTint="0" w:themeFillShade="0"/>
        <w:spacing w:before="0" w:after="120"/>
        <w:ind w:left="1418" w:hanging="425"/>
        <w:rPr>
          <w:rFonts w:ascii="Arial" w:hAnsi="Arial" w:cs="Arial"/>
          <w:sz w:val="22"/>
          <w:szCs w:val="22"/>
          <w:lang w:val="bg-BG"/>
        </w:rPr>
      </w:pPr>
      <w:r>
        <w:rPr>
          <w:rFonts w:cs="Arial" w:ascii="Arial" w:hAnsi="Arial"/>
          <w:sz w:val="22"/>
          <w:szCs w:val="22"/>
          <w:lang w:val="bg-BG"/>
        </w:rPr>
        <w:t>отпаднало е основанието за обработка по законово задължение;</w:t>
      </w:r>
    </w:p>
    <w:p>
      <w:pPr>
        <w:pStyle w:val="ListParagraph"/>
        <w:numPr>
          <w:ilvl w:val="0"/>
          <w:numId w:val="2"/>
        </w:numPr>
        <w:shd w:val="clear" w:color="auto" w:themeTint="0" w:themeShade="0" w:fill="FFFFFF" w:themeFill="background1" w:themeFillTint="0" w:themeFillShade="0"/>
        <w:spacing w:before="0" w:after="120"/>
        <w:ind w:left="1418" w:hanging="425"/>
        <w:rPr>
          <w:rFonts w:ascii="Arial" w:hAnsi="Arial" w:cs="Arial"/>
          <w:sz w:val="22"/>
          <w:szCs w:val="22"/>
          <w:lang w:val="bg-BG"/>
        </w:rPr>
      </w:pPr>
      <w:r>
        <w:rPr>
          <w:rFonts w:cs="Arial" w:ascii="Arial" w:hAnsi="Arial"/>
          <w:sz w:val="22"/>
          <w:szCs w:val="22"/>
          <w:lang w:val="bg-BG"/>
        </w:rPr>
        <w:t>данните са били незаконно обработвани.</w:t>
      </w:r>
    </w:p>
    <w:p>
      <w:pPr>
        <w:pStyle w:val="ListParagraph"/>
        <w:numPr>
          <w:ilvl w:val="0"/>
          <w:numId w:val="1"/>
        </w:numPr>
        <w:spacing w:before="0" w:after="120"/>
        <w:ind w:left="851" w:hanging="284"/>
        <w:rPr/>
      </w:pP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използва следните електронни формати, за да отговори на исканията на субектите на данни: .pdf,.jpg, .xls, ods и всички други общо достъпни електонни формати</w:t>
      </w:r>
    </w:p>
    <w:p>
      <w:pPr>
        <w:pStyle w:val="ListParagraph"/>
        <w:keepNext/>
        <w:numPr>
          <w:ilvl w:val="0"/>
          <w:numId w:val="4"/>
        </w:numPr>
        <w:shd w:val="clear" w:color="auto" w:themeTint="0" w:themeShade="0" w:fill="FFFFFF" w:themeFill="background1" w:themeFillTint="0" w:themeFillShade="0"/>
        <w:spacing w:before="240" w:after="120"/>
        <w:ind w:left="425" w:hanging="425"/>
        <w:rPr>
          <w:rFonts w:ascii="Arial" w:hAnsi="Arial" w:cs="Arial"/>
          <w:b/>
          <w:b/>
          <w:lang w:val="bg-BG"/>
        </w:rPr>
      </w:pPr>
      <w:r>
        <w:rPr>
          <w:rFonts w:cs="Arial" w:ascii="Arial" w:hAnsi="Arial"/>
          <w:b/>
          <w:lang w:val="bg-BG"/>
        </w:rPr>
        <w:t>Ограничения</w:t>
      </w:r>
    </w:p>
    <w:p>
      <w:pPr>
        <w:pStyle w:val="Normal"/>
        <w:shd w:val="clear" w:color="auto" w:themeTint="0" w:themeShade="0" w:fill="FFFFFF" w:themeFill="background1" w:themeFillTint="0" w:themeFillShade="0"/>
        <w:spacing w:before="0" w:after="120"/>
        <w:rPr>
          <w:rFonts w:ascii="Arial" w:hAnsi="Arial" w:cs="Arial"/>
          <w:sz w:val="22"/>
        </w:rPr>
      </w:pPr>
      <w:r>
        <w:rPr>
          <w:rFonts w:cs="Arial" w:ascii="Arial" w:hAnsi="Arial"/>
          <w:sz w:val="22"/>
        </w:rPr>
        <w:t>Правото на ЕС или националното законодателство могат да предвидят ограничения за упражняването на правата на субектите на данни при изпълнението на настоящата процедура с цел да се гарантира:</w:t>
      </w:r>
    </w:p>
    <w:p>
      <w:pPr>
        <w:pStyle w:val="ListParagraph"/>
        <w:numPr>
          <w:ilvl w:val="0"/>
          <w:numId w:val="1"/>
        </w:numPr>
        <w:spacing w:before="0" w:after="120"/>
        <w:ind w:left="851" w:hanging="284"/>
        <w:rPr>
          <w:rFonts w:ascii="Arial" w:hAnsi="Arial" w:cs="Arial"/>
          <w:sz w:val="22"/>
          <w:szCs w:val="22"/>
          <w:lang w:val="bg-BG"/>
        </w:rPr>
      </w:pPr>
      <w:r>
        <w:rPr>
          <w:rFonts w:cs="Arial" w:ascii="Arial" w:hAnsi="Arial"/>
          <w:sz w:val="22"/>
          <w:szCs w:val="22"/>
          <w:lang w:val="bg-BG"/>
        </w:rPr>
        <w:t>националната сигурност и отбраната;</w:t>
      </w:r>
    </w:p>
    <w:p>
      <w:pPr>
        <w:pStyle w:val="ListParagraph"/>
        <w:numPr>
          <w:ilvl w:val="0"/>
          <w:numId w:val="1"/>
        </w:numPr>
        <w:spacing w:before="0" w:after="120"/>
        <w:ind w:left="851" w:hanging="284"/>
        <w:rPr>
          <w:rFonts w:ascii="Arial" w:hAnsi="Arial" w:cs="Arial"/>
          <w:sz w:val="22"/>
          <w:szCs w:val="22"/>
          <w:lang w:val="bg-BG"/>
        </w:rPr>
      </w:pPr>
      <w:r>
        <w:rPr>
          <w:rFonts w:cs="Arial" w:ascii="Arial" w:hAnsi="Arial"/>
          <w:sz w:val="22"/>
          <w:szCs w:val="22"/>
          <w:lang w:val="bg-BG"/>
        </w:rPr>
        <w:t>обществената сигурност;</w:t>
      </w:r>
    </w:p>
    <w:p>
      <w:pPr>
        <w:pStyle w:val="ListParagraph"/>
        <w:numPr>
          <w:ilvl w:val="0"/>
          <w:numId w:val="1"/>
        </w:numPr>
        <w:spacing w:before="0" w:after="120"/>
        <w:ind w:left="851" w:hanging="284"/>
        <w:rPr>
          <w:rFonts w:ascii="Arial" w:hAnsi="Arial" w:cs="Arial"/>
          <w:sz w:val="22"/>
          <w:szCs w:val="22"/>
          <w:lang w:val="bg-BG"/>
        </w:rPr>
      </w:pPr>
      <w:r>
        <w:rPr>
          <w:rFonts w:cs="Arial" w:ascii="Arial" w:hAnsi="Arial"/>
          <w:sz w:val="22"/>
          <w:szCs w:val="22"/>
          <w:lang w:val="bg-BG"/>
        </w:rPr>
        <w:t>предотвратяването, разследването, разкриването или наказателното преследване на престъпления или изпълнението на наложените наказания, включително предпазването от и предотвратяването на заплахи за обществената сигурност;</w:t>
      </w:r>
    </w:p>
    <w:p>
      <w:pPr>
        <w:pStyle w:val="ListParagraph"/>
        <w:numPr>
          <w:ilvl w:val="0"/>
          <w:numId w:val="1"/>
        </w:numPr>
        <w:spacing w:before="0" w:after="120"/>
        <w:ind w:left="851" w:hanging="284"/>
        <w:rPr>
          <w:rFonts w:ascii="Arial" w:hAnsi="Arial" w:cs="Arial"/>
          <w:sz w:val="22"/>
          <w:szCs w:val="22"/>
          <w:lang w:val="bg-BG"/>
        </w:rPr>
      </w:pPr>
      <w:r>
        <w:rPr>
          <w:rFonts w:cs="Arial" w:ascii="Arial" w:hAnsi="Arial"/>
          <w:sz w:val="22"/>
          <w:szCs w:val="22"/>
          <w:lang w:val="bg-BG"/>
        </w:rPr>
        <w:t>важни цели от широк обществен интерес;</w:t>
      </w:r>
    </w:p>
    <w:p>
      <w:pPr>
        <w:pStyle w:val="ListParagraph"/>
        <w:numPr>
          <w:ilvl w:val="0"/>
          <w:numId w:val="1"/>
        </w:numPr>
        <w:spacing w:before="0" w:after="120"/>
        <w:ind w:left="851" w:hanging="284"/>
        <w:rPr>
          <w:rFonts w:ascii="Arial" w:hAnsi="Arial" w:cs="Arial"/>
          <w:sz w:val="22"/>
          <w:szCs w:val="22"/>
          <w:lang w:val="bg-BG"/>
        </w:rPr>
      </w:pPr>
      <w:r>
        <w:rPr>
          <w:rFonts w:cs="Arial" w:ascii="Arial" w:hAnsi="Arial"/>
          <w:sz w:val="22"/>
          <w:szCs w:val="22"/>
          <w:lang w:val="bg-BG"/>
        </w:rPr>
        <w:t>важен икономически или финансов интерес на Съюза или на държава-членка, паричните, бюджетните и данъчните въпроси;</w:t>
      </w:r>
    </w:p>
    <w:p>
      <w:pPr>
        <w:pStyle w:val="ListParagraph"/>
        <w:numPr>
          <w:ilvl w:val="0"/>
          <w:numId w:val="1"/>
        </w:numPr>
        <w:spacing w:before="0" w:after="120"/>
        <w:ind w:left="851" w:hanging="284"/>
        <w:rPr>
          <w:rFonts w:ascii="Arial" w:hAnsi="Arial" w:cs="Arial"/>
          <w:sz w:val="22"/>
          <w:szCs w:val="22"/>
          <w:lang w:val="bg-BG"/>
        </w:rPr>
      </w:pPr>
      <w:r>
        <w:rPr>
          <w:rFonts w:cs="Arial" w:ascii="Arial" w:hAnsi="Arial"/>
          <w:sz w:val="22"/>
          <w:szCs w:val="22"/>
          <w:lang w:val="bg-BG"/>
        </w:rPr>
        <w:t>общественото здраве и социалната сигурност;</w:t>
      </w:r>
    </w:p>
    <w:p>
      <w:pPr>
        <w:pStyle w:val="ListParagraph"/>
        <w:numPr>
          <w:ilvl w:val="0"/>
          <w:numId w:val="1"/>
        </w:numPr>
        <w:spacing w:before="0" w:after="120"/>
        <w:ind w:left="851" w:hanging="284"/>
        <w:rPr>
          <w:rFonts w:ascii="Arial" w:hAnsi="Arial" w:cs="Arial"/>
          <w:sz w:val="22"/>
          <w:szCs w:val="22"/>
          <w:lang w:val="bg-BG"/>
        </w:rPr>
      </w:pPr>
      <w:r>
        <w:rPr>
          <w:rFonts w:cs="Arial" w:ascii="Arial" w:hAnsi="Arial"/>
          <w:sz w:val="22"/>
          <w:szCs w:val="22"/>
          <w:lang w:val="bg-BG"/>
        </w:rPr>
        <w:t>защитата на независимостта на съдебната власт и съдебните производства;</w:t>
      </w:r>
    </w:p>
    <w:p>
      <w:pPr>
        <w:pStyle w:val="ListParagraph"/>
        <w:numPr>
          <w:ilvl w:val="0"/>
          <w:numId w:val="1"/>
        </w:numPr>
        <w:spacing w:before="0" w:after="120"/>
        <w:ind w:left="851" w:hanging="284"/>
        <w:rPr>
          <w:rFonts w:ascii="Arial" w:hAnsi="Arial" w:cs="Arial"/>
          <w:sz w:val="22"/>
          <w:szCs w:val="22"/>
          <w:lang w:val="bg-BG"/>
        </w:rPr>
      </w:pPr>
      <w:r>
        <w:rPr>
          <w:rFonts w:cs="Arial" w:ascii="Arial" w:hAnsi="Arial"/>
          <w:sz w:val="22"/>
          <w:szCs w:val="22"/>
          <w:lang w:val="bg-BG"/>
        </w:rPr>
        <w:t>предотвратяването, разследването, разкриването и наказателното преследване на нарушения на етичните кодекси при регламентираните професии;</w:t>
      </w:r>
    </w:p>
    <w:p>
      <w:pPr>
        <w:pStyle w:val="ListParagraph"/>
        <w:numPr>
          <w:ilvl w:val="0"/>
          <w:numId w:val="1"/>
        </w:numPr>
        <w:spacing w:before="0" w:after="120"/>
        <w:ind w:left="851" w:hanging="284"/>
        <w:rPr>
          <w:rFonts w:ascii="Arial" w:hAnsi="Arial" w:cs="Arial"/>
          <w:sz w:val="22"/>
          <w:szCs w:val="22"/>
          <w:lang w:val="bg-BG"/>
        </w:rPr>
      </w:pPr>
      <w:r>
        <w:rPr>
          <w:rFonts w:cs="Arial" w:ascii="Arial" w:hAnsi="Arial"/>
          <w:sz w:val="22"/>
          <w:szCs w:val="22"/>
          <w:lang w:val="bg-BG"/>
        </w:rPr>
        <w:t>функция по наблюдението, проверката или регламентирането, свързана, дори само понякога, с упражняването на официални правомощия в случаите;</w:t>
      </w:r>
    </w:p>
    <w:p>
      <w:pPr>
        <w:pStyle w:val="ListParagraph"/>
        <w:numPr>
          <w:ilvl w:val="0"/>
          <w:numId w:val="1"/>
        </w:numPr>
        <w:spacing w:before="0" w:after="120"/>
        <w:ind w:left="851" w:hanging="284"/>
        <w:rPr>
          <w:rFonts w:ascii="Arial" w:hAnsi="Arial" w:cs="Arial"/>
          <w:sz w:val="22"/>
          <w:szCs w:val="22"/>
          <w:lang w:val="bg-BG"/>
        </w:rPr>
      </w:pPr>
      <w:r>
        <w:rPr>
          <w:rFonts w:cs="Arial" w:ascii="Arial" w:hAnsi="Arial"/>
          <w:sz w:val="22"/>
          <w:szCs w:val="22"/>
          <w:lang w:val="bg-BG"/>
        </w:rPr>
        <w:t>защитата на субекта на данните или на правата и свободите на други лица;</w:t>
      </w:r>
    </w:p>
    <w:p>
      <w:pPr>
        <w:pStyle w:val="ListParagraph"/>
        <w:numPr>
          <w:ilvl w:val="0"/>
          <w:numId w:val="1"/>
        </w:numPr>
        <w:spacing w:before="0" w:after="120"/>
        <w:ind w:left="851" w:hanging="284"/>
        <w:rPr>
          <w:rFonts w:ascii="Arial" w:hAnsi="Arial" w:cs="Arial"/>
          <w:sz w:val="22"/>
          <w:szCs w:val="22"/>
          <w:lang w:val="bg-BG"/>
        </w:rPr>
      </w:pPr>
      <w:r>
        <w:rPr>
          <w:rFonts w:cs="Arial" w:ascii="Arial" w:hAnsi="Arial"/>
          <w:sz w:val="22"/>
          <w:szCs w:val="22"/>
          <w:lang w:val="bg-BG"/>
        </w:rPr>
        <w:t>изпълнението по гражданскоправни искове.</w:t>
      </w:r>
    </w:p>
    <w:p>
      <w:pPr>
        <w:pStyle w:val="GDPRApisParts"/>
        <w:numPr>
          <w:ilvl w:val="0"/>
          <w:numId w:val="3"/>
        </w:numPr>
        <w:spacing w:lineRule="auto" w:line="240" w:before="240" w:after="240"/>
        <w:ind w:left="426" w:hanging="426"/>
        <w:rPr>
          <w:rFonts w:cs="Arial"/>
        </w:rPr>
      </w:pPr>
      <w:r>
        <w:rPr>
          <w:rFonts w:cs="Arial"/>
        </w:rPr>
        <w:t>Примерни образци</w:t>
      </w:r>
    </w:p>
    <w:p>
      <w:pPr>
        <w:pStyle w:val="ListParagraph"/>
        <w:numPr>
          <w:ilvl w:val="0"/>
          <w:numId w:val="1"/>
        </w:numPr>
        <w:spacing w:before="0" w:after="120"/>
        <w:ind w:left="851" w:hanging="284"/>
        <w:rPr>
          <w:rFonts w:ascii="Arial" w:hAnsi="Arial" w:cs="Arial"/>
          <w:sz w:val="20"/>
          <w:szCs w:val="22"/>
          <w:lang w:val="bg-BG"/>
        </w:rPr>
      </w:pPr>
      <w:r>
        <w:rPr>
          <w:rFonts w:cs="Arial" w:ascii="Arial" w:hAnsi="Arial"/>
          <w:sz w:val="22"/>
          <w:lang w:val="bg-BG"/>
        </w:rPr>
        <w:t>Образец на форма за искане от субект на данните (GDPR_FORM_02)</w:t>
      </w:r>
    </w:p>
    <w:p>
      <w:pPr>
        <w:pStyle w:val="SGDPRRegister4"/>
        <w:numPr>
          <w:ilvl w:val="0"/>
          <w:numId w:val="0"/>
        </w:numPr>
        <w:spacing w:before="0" w:after="120"/>
        <w:ind w:left="851" w:hanging="425"/>
        <w:rPr/>
      </w:pPr>
      <w:r>
        <w:rPr/>
      </w:r>
    </w:p>
    <w:sectPr>
      <w:headerReference w:type="default" r:id="rId15"/>
      <w:footerReference w:type="default" r:id="rId16"/>
      <w:footnotePr>
        <w:numFmt w:val="decimal"/>
      </w:footnotePr>
      <w:type w:val="nextPage"/>
      <w:pgSz w:w="11906" w:h="16838"/>
      <w:pgMar w:left="1417" w:right="991" w:header="708" w:top="1417" w:footer="708" w:bottom="184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CG Times">
    <w:charset w:val="cc"/>
    <w:family w:val="roman"/>
    <w:pitch w:val="variable"/>
  </w:font>
  <w:font w:name="Courier New">
    <w:charset w:val="01"/>
    <w:family w:val="modern"/>
    <w:pitch w:val="fixed"/>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634" w:type="dxa"/>
      <w:jc w:val="left"/>
      <w:tblInd w:w="-5" w:type="dxa"/>
      <w:tblCellMar>
        <w:top w:w="0" w:type="dxa"/>
        <w:left w:w="103" w:type="dxa"/>
        <w:bottom w:w="0" w:type="dxa"/>
        <w:right w:w="108" w:type="dxa"/>
      </w:tblCellMar>
    </w:tblPr>
    <w:tblGrid>
      <w:gridCol w:w="3066"/>
      <w:gridCol w:w="3067"/>
      <w:gridCol w:w="3501"/>
    </w:tblGrid>
    <w:tr>
      <w:trPr>
        <w:trHeight w:val="294" w:hRule="atLeast"/>
      </w:trPr>
      <w:tc>
        <w:tcPr>
          <w:tcW w:w="9634" w:type="dxa"/>
          <w:gridSpan w:val="3"/>
          <w:tcBorders/>
          <w:shd w:color="auto" w:fill="F2F2F2" w:themeFill="background1" w:themeFillShade="f2" w:val="clear"/>
          <w:tcMar>
            <w:left w:w="103" w:type="dxa"/>
          </w:tcMar>
        </w:tcPr>
        <w:p>
          <w:pPr>
            <w:pStyle w:val="Normal"/>
            <w:spacing w:lineRule="auto" w:line="240" w:before="0" w:after="0"/>
            <w:rPr>
              <w:rFonts w:cs="Times New Roman"/>
              <w:sz w:val="22"/>
              <w:szCs w:val="22"/>
              <w:lang w:val="bg-BG"/>
            </w:rPr>
          </w:pPr>
          <w:r>
            <w:rPr>
              <w:rFonts w:cs="Times New Roman"/>
              <w:sz w:val="22"/>
              <w:szCs w:val="22"/>
              <w:lang w:val="bg-BG"/>
            </w:rPr>
            <w:t>Контакт с Администратора на лични данни:</w:t>
          </w:r>
        </w:p>
      </w:tc>
    </w:tr>
    <w:tr>
      <w:trPr/>
      <w:tc>
        <w:tcPr>
          <w:tcW w:w="3066"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 xml:space="preserve">Уебсайт: </w:t>
          </w:r>
          <w:r>
            <w:rPr>
              <w:rStyle w:val="SGDPRWebsiteChar"/>
              <w:rFonts w:cs="Times New Roman"/>
              <w:sz w:val="22"/>
              <w:lang w:val="en-GB"/>
            </w:rPr>
            <w:t>www.pato.bg</w:t>
          </w:r>
        </w:p>
      </w:tc>
      <w:tc>
        <w:tcPr>
          <w:tcW w:w="3067"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 xml:space="preserve">E-mail: </w:t>
          </w:r>
          <w:r>
            <w:rPr>
              <w:rStyle w:val="SGDPREmailChar"/>
              <w:rFonts w:cs="Times New Roman"/>
              <w:sz w:val="22"/>
              <w:lang w:val="en-GB"/>
            </w:rPr>
            <w:t>pato_dobrich@patobg.com</w:t>
          </w:r>
        </w:p>
      </w:tc>
      <w:tc>
        <w:tcPr>
          <w:tcW w:w="3501"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 xml:space="preserve">Телефон: </w:t>
          </w:r>
          <w:r>
            <w:rPr>
              <w:rStyle w:val="SGDPRPhoneChar"/>
              <w:rFonts w:cs="Times New Roman"/>
              <w:sz w:val="22"/>
              <w:lang w:val="en-GB"/>
            </w:rPr>
            <w:t>058/600720</w:t>
          </w:r>
        </w:p>
      </w:tc>
    </w:tr>
  </w:tbl>
  <w:p>
    <w:pPr>
      <w:pStyle w:val="Style23"/>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24"/>
        <w:rPr/>
      </w:pPr>
      <w:r>
        <w:rPr/>
        <w:footnoteRef/>
        <w:tab/>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634" w:type="dxa"/>
      <w:jc w:val="left"/>
      <w:tblInd w:w="-5" w:type="dxa"/>
      <w:tblCellMar>
        <w:top w:w="0" w:type="dxa"/>
        <w:left w:w="103" w:type="dxa"/>
        <w:bottom w:w="0" w:type="dxa"/>
        <w:right w:w="108" w:type="dxa"/>
      </w:tblCellMar>
    </w:tblPr>
    <w:tblGrid>
      <w:gridCol w:w="1526"/>
      <w:gridCol w:w="3146"/>
      <w:gridCol w:w="1956"/>
      <w:gridCol w:w="3005"/>
    </w:tblGrid>
    <w:tr>
      <w:trPr/>
      <w:tc>
        <w:tcPr>
          <w:tcW w:w="1526" w:type="dxa"/>
          <w:tcBorders/>
          <w:shd w:color="auto" w:fill="F2F2F2" w:themeFill="background1" w:themeFillShade="f2" w:val="clear"/>
          <w:tcMar>
            <w:left w:w="103" w:type="dxa"/>
          </w:tcMar>
        </w:tcPr>
        <w:p>
          <w:pPr>
            <w:pStyle w:val="SGDPRFirmSign"/>
            <w:spacing w:lineRule="auto" w:line="240" w:before="0" w:after="0"/>
            <w:jc w:val="center"/>
            <w:rPr>
              <w:rFonts w:ascii="Calibri" w:hAnsi="Calibri" w:eastAsia="Times New Roman" w:cs="Times New Roman" w:asciiTheme="minorHAnsi" w:hAnsiTheme="minorHAnsi"/>
              <w:color w:val="A6A6A6"/>
              <w:sz w:val="22"/>
              <w:szCs w:val="24"/>
              <w:lang w:val="en-GB" w:eastAsia="en-US" w:bidi="ar-SA"/>
            </w:rPr>
          </w:pPr>
          <w:r>
            <w:rPr>
              <w:rFonts w:eastAsia="Times New Roman" w:cs="Times New Roman"/>
              <w:color w:val="A6A6A6"/>
              <w:sz w:val="22"/>
              <w:szCs w:val="24"/>
              <w:lang w:val="en-GB" w:eastAsia="en-US" w:bidi="ar-SA"/>
            </w:rPr>
          </w:r>
        </w:p>
        <w:p>
          <w:pPr>
            <w:pStyle w:val="Normal"/>
            <w:spacing w:lineRule="auto" w:line="240" w:before="0" w:after="0"/>
            <w:jc w:val="center"/>
            <w:rPr/>
          </w:pPr>
          <w:r>
            <w:rPr/>
            <w:drawing>
              <wp:inline distT="0" distB="0" distL="0" distR="0">
                <wp:extent cx="709930" cy="627380"/>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1"/>
                        <a:stretch>
                          <a:fillRect/>
                        </a:stretch>
                      </pic:blipFill>
                      <pic:spPr bwMode="auto">
                        <a:xfrm>
                          <a:off x="0" y="0"/>
                          <a:ext cx="709930" cy="627380"/>
                        </a:xfrm>
                        <a:prstGeom prst="rect">
                          <a:avLst/>
                        </a:prstGeom>
                      </pic:spPr>
                    </pic:pic>
                  </a:graphicData>
                </a:graphic>
              </wp:inline>
            </w:drawing>
          </w:r>
        </w:p>
      </w:tc>
      <w:tc>
        <w:tcPr>
          <w:tcW w:w="8107" w:type="dxa"/>
          <w:gridSpan w:val="3"/>
          <w:tcBorders/>
          <w:shd w:color="auto" w:fill="F2F2F2" w:themeFill="background1" w:themeFillShade="f2" w:val="clear"/>
          <w:tcMar>
            <w:left w:w="103" w:type="dxa"/>
          </w:tcMar>
        </w:tcPr>
        <w:p>
          <w:pPr>
            <w:pStyle w:val="Style22"/>
            <w:spacing w:lineRule="auto" w:line="240" w:before="40" w:after="0"/>
            <w:jc w:val="center"/>
            <w:rPr>
              <w:rFonts w:ascii="Times New Roman" w:hAnsi="Times New Roman" w:cs="Times New Roman"/>
              <w:b/>
              <w:b/>
              <w:sz w:val="24"/>
              <w:szCs w:val="24"/>
              <w:lang w:val="ru-RU"/>
            </w:rPr>
          </w:pPr>
          <w:r>
            <w:rPr>
              <w:rFonts w:cs="Times New Roman" w:ascii="Times New Roman" w:hAnsi="Times New Roman"/>
              <w:b/>
              <w:sz w:val="24"/>
              <w:szCs w:val="24"/>
              <w:lang w:val="ru-RU"/>
            </w:rPr>
          </w:r>
        </w:p>
        <w:p>
          <w:pPr>
            <w:pStyle w:val="Style22"/>
            <w:spacing w:lineRule="auto" w:line="240" w:before="40" w:after="0"/>
            <w:jc w:val="center"/>
            <w:rPr>
              <w:rFonts w:ascii="Times New Roman" w:hAnsi="Times New Roman" w:cs="Times New Roman"/>
              <w:b/>
              <w:b/>
              <w:sz w:val="24"/>
              <w:szCs w:val="24"/>
              <w:lang w:val="ru-RU"/>
            </w:rPr>
          </w:pPr>
          <w:r>
            <w:rPr>
              <w:rFonts w:cs="Times New Roman" w:ascii="Times New Roman" w:hAnsi="Times New Roman"/>
              <w:b/>
              <w:sz w:val="24"/>
              <w:szCs w:val="24"/>
              <w:lang w:val="ru-RU"/>
            </w:rPr>
          </w:r>
        </w:p>
        <w:p>
          <w:pPr>
            <w:pStyle w:val="Style22"/>
            <w:spacing w:lineRule="auto" w:line="240" w:before="40" w:after="0"/>
            <w:jc w:val="center"/>
            <w:rPr/>
          </w:pPr>
          <w:r>
            <w:rPr>
              <w:rFonts w:cs="Times New Roman" w:ascii="Times New Roman" w:hAnsi="Times New Roman"/>
              <w:b/>
              <w:sz w:val="24"/>
              <w:szCs w:val="24"/>
              <w:lang w:val="ru-RU"/>
            </w:rPr>
            <w:t xml:space="preserve">ПРОЦЕДУРА </w:t>
          </w:r>
        </w:p>
        <w:p>
          <w:pPr>
            <w:pStyle w:val="Style22"/>
            <w:spacing w:lineRule="auto" w:line="240" w:before="40" w:after="0"/>
            <w:jc w:val="center"/>
            <w:rPr>
              <w:rFonts w:ascii="Times New Roman" w:hAnsi="Times New Roman" w:cs="Times New Roman"/>
              <w:b/>
              <w:b/>
              <w:sz w:val="24"/>
              <w:lang w:val="bg-BG"/>
            </w:rPr>
          </w:pPr>
          <w:r>
            <w:rPr>
              <w:rFonts w:cs="Times New Roman" w:ascii="Times New Roman" w:hAnsi="Times New Roman"/>
              <w:b/>
              <w:sz w:val="24"/>
              <w:szCs w:val="24"/>
              <w:lang w:val="ru-RU"/>
            </w:rPr>
            <w:t>ЗА УПРАВЛЕНИЕ НА ИСКАНИЯТА ОТ СУБЕКТИТЕ</w:t>
          </w:r>
        </w:p>
        <w:p>
          <w:pPr>
            <w:pStyle w:val="Style22"/>
            <w:spacing w:lineRule="auto" w:line="240" w:before="0" w:after="0"/>
            <w:jc w:val="center"/>
            <w:rPr>
              <w:rFonts w:ascii="Calibri" w:hAnsi="Calibri" w:eastAsia="Calibri" w:cs="Times New Roman" w:asciiTheme="minorHAnsi" w:eastAsiaTheme="minorHAnsi" w:hAnsiTheme="minorHAnsi"/>
              <w:b/>
              <w:b/>
              <w:sz w:val="22"/>
              <w:szCs w:val="22"/>
              <w:lang w:val="bg-BG" w:eastAsia="en-US" w:bidi="ar-SA"/>
            </w:rPr>
          </w:pPr>
          <w:r>
            <w:rPr>
              <w:rFonts w:eastAsia="Calibri" w:cs="Times New Roman" w:eastAsiaTheme="minorHAnsi"/>
              <w:b/>
              <w:sz w:val="22"/>
              <w:szCs w:val="22"/>
              <w:lang w:val="bg-BG" w:eastAsia="en-US" w:bidi="ar-SA"/>
            </w:rPr>
          </w:r>
        </w:p>
        <w:p>
          <w:pPr>
            <w:pStyle w:val="Style22"/>
            <w:spacing w:lineRule="auto" w:line="240" w:before="0" w:after="0"/>
            <w:jc w:val="center"/>
            <w:rPr>
              <w:rFonts w:ascii="Calibri" w:hAnsi="Calibri" w:eastAsia="Calibri" w:cs="Times New Roman" w:asciiTheme="minorHAnsi" w:eastAsiaTheme="minorHAnsi" w:hAnsiTheme="minorHAnsi"/>
              <w:b/>
              <w:b/>
              <w:sz w:val="22"/>
              <w:szCs w:val="22"/>
              <w:lang w:val="bg-BG" w:eastAsia="en-US" w:bidi="ar-SA"/>
            </w:rPr>
          </w:pPr>
          <w:r>
            <w:rPr>
              <w:rFonts w:eastAsia="Calibri" w:cs="Times New Roman" w:eastAsiaTheme="minorHAnsi"/>
              <w:b/>
              <w:sz w:val="22"/>
              <w:szCs w:val="22"/>
              <w:lang w:val="bg-BG" w:eastAsia="en-US" w:bidi="ar-SA"/>
            </w:rPr>
          </w:r>
        </w:p>
      </w:tc>
    </w:tr>
    <w:tr>
      <w:trPr>
        <w:trHeight w:val="320" w:hRule="atLeast"/>
      </w:trPr>
      <w:tc>
        <w:tcPr>
          <w:tcW w:w="1526" w:type="dxa"/>
          <w:tcBorders/>
          <w:shd w:color="auto" w:fill="F2F2F2" w:themeFill="background1" w:themeFillShade="f2" w:val="clear"/>
          <w:tcMar>
            <w:left w:w="103" w:type="dxa"/>
          </w:tcMar>
        </w:tcPr>
        <w:p>
          <w:pPr>
            <w:pStyle w:val="Normal"/>
            <w:spacing w:lineRule="auto" w:line="240" w:before="20" w:after="0"/>
            <w:rPr>
              <w:rFonts w:cs="Times New Roman"/>
              <w:b/>
              <w:b/>
              <w:sz w:val="22"/>
              <w:szCs w:val="22"/>
              <w:lang w:val="bg-BG"/>
            </w:rPr>
          </w:pPr>
          <w:r>
            <w:rPr>
              <w:rFonts w:cs="Times New Roman"/>
              <w:b/>
              <w:sz w:val="22"/>
              <w:szCs w:val="22"/>
              <w:lang w:val="bg-BG"/>
            </w:rPr>
            <w:t>GDPR</w:t>
          </w:r>
        </w:p>
      </w:tc>
      <w:tc>
        <w:tcPr>
          <w:tcW w:w="3146" w:type="dxa"/>
          <w:tcBorders/>
          <w:shd w:color="auto" w:fill="F2F2F2" w:themeFill="background1" w:themeFillShade="f2" w:val="clear"/>
          <w:tcMar>
            <w:left w:w="103" w:type="dxa"/>
          </w:tcMar>
        </w:tcPr>
        <w:p>
          <w:pPr>
            <w:pStyle w:val="Normal"/>
            <w:spacing w:lineRule="auto" w:line="240" w:before="20" w:after="0"/>
            <w:rPr>
              <w:rFonts w:cs="Times New Roman"/>
              <w:sz w:val="22"/>
              <w:szCs w:val="22"/>
              <w:lang w:val="bg-BG"/>
            </w:rPr>
          </w:pPr>
          <w:r>
            <w:rPr>
              <w:rFonts w:cs="Times New Roman"/>
              <w:sz w:val="22"/>
              <w:szCs w:val="22"/>
              <w:lang w:val="bg-BG"/>
            </w:rPr>
            <w:t xml:space="preserve">Идент. №  </w:t>
          </w:r>
          <w:r>
            <w:rPr>
              <w:rFonts w:cs="Times New Roman"/>
              <w:b/>
              <w:sz w:val="22"/>
              <w:szCs w:val="22"/>
              <w:lang w:val="bg-BG"/>
            </w:rPr>
            <w:t>PROC_0</w:t>
          </w:r>
          <w:r>
            <w:rPr>
              <w:rFonts w:cs="Times New Roman"/>
              <w:b/>
              <w:sz w:val="22"/>
              <w:szCs w:val="22"/>
              <w:lang w:val="en-US"/>
            </w:rPr>
            <w:t>3</w:t>
          </w:r>
          <w:r>
            <w:rPr>
              <w:rFonts w:cs="Times New Roman"/>
              <w:sz w:val="22"/>
              <w:szCs w:val="22"/>
              <w:lang w:val="bg-BG"/>
            </w:rPr>
            <w:t xml:space="preserve"> </w:t>
          </w:r>
        </w:p>
      </w:tc>
      <w:tc>
        <w:tcPr>
          <w:tcW w:w="1956" w:type="dxa"/>
          <w:tcBorders/>
          <w:shd w:color="auto" w:fill="F2F2F2" w:themeFill="background1" w:themeFillShade="f2" w:val="clear"/>
          <w:tcMar>
            <w:left w:w="103" w:type="dxa"/>
          </w:tcMar>
        </w:tcPr>
        <w:p>
          <w:pPr>
            <w:pStyle w:val="Normal"/>
            <w:spacing w:lineRule="auto" w:line="240" w:before="20" w:after="0"/>
            <w:rPr>
              <w:rFonts w:cs="Times New Roman"/>
              <w:sz w:val="22"/>
              <w:szCs w:val="22"/>
              <w:lang w:val="bg-BG"/>
            </w:rPr>
          </w:pPr>
          <w:r>
            <w:rPr>
              <w:rFonts w:cs="Times New Roman"/>
              <w:sz w:val="22"/>
              <w:szCs w:val="22"/>
              <w:lang w:val="en-GB"/>
            </w:rPr>
            <w:t xml:space="preserve">Версия    </w:t>
          </w:r>
          <w:r>
            <w:rPr>
              <w:rFonts w:cs="Times New Roman"/>
              <w:b/>
              <w:sz w:val="22"/>
              <w:szCs w:val="22"/>
              <w:lang w:val="en-GB"/>
            </w:rPr>
            <w:t>0.1</w:t>
          </w:r>
        </w:p>
      </w:tc>
      <w:tc>
        <w:tcPr>
          <w:tcW w:w="3005" w:type="dxa"/>
          <w:tcBorders/>
          <w:shd w:color="auto" w:fill="F2F2F2" w:themeFill="background1" w:themeFillShade="f2" w:val="clear"/>
          <w:tcMar>
            <w:left w:w="103" w:type="dxa"/>
          </w:tcMar>
        </w:tcPr>
        <w:sdt>
          <w:sdtPr>
            <w:docPartObj>
              <w:docPartGallery w:val="Page Numbers (Top of Page)"/>
              <w:docPartUnique w:val="true"/>
            </w:docPartObj>
          </w:sdtPr>
          <w:sdtContent>
            <w:p>
              <w:pPr>
                <w:pStyle w:val="Style22"/>
                <w:tabs>
                  <w:tab w:val="left" w:pos="2197" w:leader="none"/>
                  <w:tab w:val="left" w:pos="2338" w:leader="none"/>
                  <w:tab w:val="left" w:pos="2480" w:leader="none"/>
                  <w:tab w:val="center" w:pos="4536" w:leader="none"/>
                  <w:tab w:val="right" w:pos="9072" w:leader="none"/>
                </w:tabs>
                <w:spacing w:lineRule="auto" w:line="240" w:before="20" w:after="0"/>
                <w:ind w:left="-213" w:right="-113" w:firstLine="213"/>
                <w:jc w:val="center"/>
                <w:rPr/>
              </w:pPr>
              <w:r>
                <w:rPr>
                  <w:rFonts w:cs="Times New Roman"/>
                  <w:lang w:val="en-GB"/>
                </w:rPr>
                <w:t xml:space="preserve">Стр. </w:t>
              </w:r>
              <w:r>
                <w:rPr>
                  <w:rFonts w:cs="Times New Roman"/>
                  <w:lang w:val="en-GB"/>
                </w:rPr>
                <w:fldChar w:fldCharType="begin"/>
              </w:r>
              <w:r>
                <w:instrText> PAGE </w:instrText>
              </w:r>
              <w:r>
                <w:fldChar w:fldCharType="separate"/>
              </w:r>
              <w:r>
                <w:t>5</w:t>
              </w:r>
              <w:r>
                <w:fldChar w:fldCharType="end"/>
              </w:r>
              <w:r>
                <w:rPr>
                  <w:rFonts w:cs="Times New Roman"/>
                  <w:bCs/>
                  <w:lang w:val="en-GB"/>
                </w:rPr>
                <w:t xml:space="preserve"> </w:t>
              </w:r>
              <w:r>
                <w:rPr>
                  <w:rFonts w:cs="Times New Roman"/>
                  <w:lang w:val="en-GB"/>
                </w:rPr>
                <w:t xml:space="preserve">от </w:t>
              </w:r>
              <w:r>
                <w:rPr>
                  <w:rFonts w:cs="Times New Roman"/>
                  <w:lang w:val="en-GB"/>
                </w:rPr>
                <w:fldChar w:fldCharType="begin"/>
              </w:r>
              <w:r>
                <w:instrText> NUMPAGES </w:instrText>
              </w:r>
              <w:r>
                <w:fldChar w:fldCharType="separate"/>
              </w:r>
              <w:r>
                <w:t>5</w:t>
              </w:r>
              <w:r>
                <w:fldChar w:fldCharType="end"/>
              </w:r>
              <w:r>
                <w:rPr>
                  <w:rFonts w:cs="Times New Roman"/>
                  <w:b/>
                  <w:bCs/>
                  <w:lang w:val="en-GB"/>
                </w:rPr>
                <w:t xml:space="preserve"> </w:t>
              </w:r>
            </w:p>
          </w:sdtContent>
        </w:sdt>
      </w:tc>
    </w:tr>
    <w:tr>
      <w:trPr>
        <w:trHeight w:val="337" w:hRule="atLeast"/>
      </w:trPr>
      <w:tc>
        <w:tcPr>
          <w:tcW w:w="4672" w:type="dxa"/>
          <w:gridSpan w:val="2"/>
          <w:tcBorders/>
          <w:shd w:color="auto" w:fill="F2F2F2" w:themeFill="background1" w:themeFillShade="f2" w:val="clear"/>
          <w:tcMar>
            <w:left w:w="103" w:type="dxa"/>
          </w:tcMar>
        </w:tcPr>
        <w:p>
          <w:pPr>
            <w:pStyle w:val="Normal"/>
            <w:spacing w:lineRule="auto" w:line="240" w:before="20" w:after="0"/>
            <w:rPr/>
          </w:pPr>
          <w:r>
            <w:rPr>
              <w:rFonts w:cs="Times New Roman"/>
              <w:sz w:val="22"/>
              <w:szCs w:val="22"/>
              <w:lang w:val="en-GB"/>
            </w:rPr>
            <w:t xml:space="preserve">Администратор: </w:t>
          </w:r>
          <w:r>
            <w:rPr>
              <w:rStyle w:val="SGDPRAdministratorNameChar"/>
              <w:rFonts w:cs="Times New Roman"/>
              <w:sz w:val="22"/>
              <w:szCs w:val="22"/>
              <w:lang w:val="en-GB"/>
            </w:rPr>
            <w:t xml:space="preserve"> ПАТО ЕООД</w:t>
          </w:r>
        </w:p>
      </w:tc>
      <w:tc>
        <w:tcPr>
          <w:tcW w:w="4961" w:type="dxa"/>
          <w:gridSpan w:val="2"/>
          <w:tcBorders/>
          <w:shd w:color="auto" w:fill="F2F2F2" w:themeFill="background1" w:themeFillShade="f2" w:val="clear"/>
          <w:tcMar>
            <w:left w:w="103" w:type="dxa"/>
          </w:tcMar>
        </w:tcPr>
        <w:p>
          <w:pPr>
            <w:pStyle w:val="Normal"/>
            <w:spacing w:lineRule="auto" w:line="240" w:before="20" w:after="0"/>
            <w:rPr>
              <w:rStyle w:val="SGDPRPersonResposibleNameChar"/>
              <w:rFonts w:cs="Times New Roman"/>
              <w:sz w:val="22"/>
              <w:szCs w:val="22"/>
              <w:lang w:val="en-GB"/>
            </w:rPr>
          </w:pPr>
          <w:r>
            <w:rPr>
              <w:rFonts w:cs="Times New Roman"/>
              <w:sz w:val="22"/>
              <w:szCs w:val="22"/>
              <w:lang w:val="en-GB"/>
            </w:rPr>
            <w:t xml:space="preserve">ДЛЗД/Отговорник: </w:t>
          </w:r>
          <w:r>
            <w:rPr>
              <w:rFonts w:cs="Times New Roman"/>
              <w:sz w:val="22"/>
              <w:szCs w:val="22"/>
              <w:lang w:val="bg-BG"/>
            </w:rPr>
            <w:t>В.КАЛЧЕВА</w:t>
          </w:r>
        </w:p>
      </w:tc>
    </w:tr>
  </w:tbl>
  <w:p>
    <w:pPr>
      <w:pStyle w:val="Style2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287" w:hanging="360"/>
      </w:pPr>
      <w:rPr>
        <w:rFonts w:ascii="Symbol" w:hAnsi="Symbol" w:cs="Symbol" w:hint="default"/>
        <w:sz w:val="20"/>
        <w:rFonts w:cs="Symbol"/>
      </w:rPr>
    </w:lvl>
    <w:lvl w:ilvl="1">
      <w:start w:val="1"/>
      <w:numFmt w:val="bullet"/>
      <w:lvlText w:val="o"/>
      <w:lvlJc w:val="left"/>
      <w:pPr>
        <w:ind w:left="2007" w:hanging="360"/>
      </w:pPr>
      <w:rPr>
        <w:rFonts w:ascii="Courier New" w:hAnsi="Courier New" w:cs="Courier New" w:hint="default"/>
        <w:rFonts w:cs="Courier New"/>
      </w:rPr>
    </w:lvl>
    <w:lvl w:ilvl="2">
      <w:start w:val="1"/>
      <w:numFmt w:val="bullet"/>
      <w:lvlText w:val=""/>
      <w:lvlJc w:val="left"/>
      <w:pPr>
        <w:ind w:left="2727" w:hanging="360"/>
      </w:pPr>
      <w:rPr>
        <w:rFonts w:ascii="Wingdings" w:hAnsi="Wingdings" w:cs="Wingdings" w:hint="default"/>
        <w:rFonts w:cs="Wingdings"/>
      </w:rPr>
    </w:lvl>
    <w:lvl w:ilvl="3">
      <w:start w:val="1"/>
      <w:numFmt w:val="bullet"/>
      <w:lvlText w:val=""/>
      <w:lvlJc w:val="left"/>
      <w:pPr>
        <w:ind w:left="3447" w:hanging="360"/>
      </w:pPr>
      <w:rPr>
        <w:rFonts w:ascii="Symbol" w:hAnsi="Symbol" w:cs="Symbol" w:hint="default"/>
        <w:rFonts w:cs="Symbol"/>
      </w:rPr>
    </w:lvl>
    <w:lvl w:ilvl="4">
      <w:start w:val="1"/>
      <w:numFmt w:val="bullet"/>
      <w:lvlText w:val="o"/>
      <w:lvlJc w:val="left"/>
      <w:pPr>
        <w:ind w:left="4167" w:hanging="360"/>
      </w:pPr>
      <w:rPr>
        <w:rFonts w:ascii="Courier New" w:hAnsi="Courier New" w:cs="Courier New" w:hint="default"/>
        <w:rFonts w:cs="Courier New"/>
      </w:rPr>
    </w:lvl>
    <w:lvl w:ilvl="5">
      <w:start w:val="1"/>
      <w:numFmt w:val="bullet"/>
      <w:lvlText w:val=""/>
      <w:lvlJc w:val="left"/>
      <w:pPr>
        <w:ind w:left="4887" w:hanging="360"/>
      </w:pPr>
      <w:rPr>
        <w:rFonts w:ascii="Wingdings" w:hAnsi="Wingdings" w:cs="Wingdings" w:hint="default"/>
        <w:rFonts w:cs="Wingdings"/>
      </w:rPr>
    </w:lvl>
    <w:lvl w:ilvl="6">
      <w:start w:val="1"/>
      <w:numFmt w:val="bullet"/>
      <w:lvlText w:val=""/>
      <w:lvlJc w:val="left"/>
      <w:pPr>
        <w:ind w:left="5607" w:hanging="360"/>
      </w:pPr>
      <w:rPr>
        <w:rFonts w:ascii="Symbol" w:hAnsi="Symbol" w:cs="Symbol" w:hint="default"/>
        <w:rFonts w:cs="Symbol"/>
      </w:rPr>
    </w:lvl>
    <w:lvl w:ilvl="7">
      <w:start w:val="1"/>
      <w:numFmt w:val="bullet"/>
      <w:lvlText w:val="o"/>
      <w:lvlJc w:val="left"/>
      <w:pPr>
        <w:ind w:left="6327" w:hanging="360"/>
      </w:pPr>
      <w:rPr>
        <w:rFonts w:ascii="Courier New" w:hAnsi="Courier New" w:cs="Courier New" w:hint="default"/>
        <w:rFonts w:cs="Courier New"/>
      </w:rPr>
    </w:lvl>
    <w:lvl w:ilvl="8">
      <w:start w:val="1"/>
      <w:numFmt w:val="bullet"/>
      <w:lvlText w:val=""/>
      <w:lvlJc w:val="left"/>
      <w:pPr>
        <w:ind w:left="7047" w:hanging="360"/>
      </w:pPr>
      <w:rPr>
        <w:rFonts w:ascii="Wingdings" w:hAnsi="Wingdings" w:cs="Wingdings" w:hint="default"/>
        <w:rFonts w:cs="Wingdings"/>
      </w:rPr>
    </w:lvl>
  </w:abstractNum>
  <w:abstractNum w:abstractNumId="2">
    <w:lvl w:ilvl="0">
      <w:start w:val="1"/>
      <w:numFmt w:val="bullet"/>
      <w:lvlText w:val="o"/>
      <w:lvlJc w:val="left"/>
      <w:pPr>
        <w:ind w:left="1002" w:hanging="360"/>
      </w:pPr>
      <w:rPr>
        <w:rFonts w:ascii="Courier New" w:hAnsi="Courier New" w:cs="Courier New" w:hint="default"/>
        <w:sz w:val="22"/>
        <w:rFonts w:cs="Courier New"/>
      </w:rPr>
    </w:lvl>
    <w:lvl w:ilvl="1">
      <w:start w:val="1"/>
      <w:numFmt w:val="bullet"/>
      <w:lvlText w:val="o"/>
      <w:lvlJc w:val="left"/>
      <w:pPr>
        <w:ind w:left="1722" w:hanging="360"/>
      </w:pPr>
      <w:rPr>
        <w:rFonts w:ascii="Courier New" w:hAnsi="Courier New" w:cs="Courier New" w:hint="default"/>
        <w:rFonts w:cs="Courier New"/>
      </w:rPr>
    </w:lvl>
    <w:lvl w:ilvl="2">
      <w:start w:val="1"/>
      <w:numFmt w:val="bullet"/>
      <w:lvlText w:val=""/>
      <w:lvlJc w:val="left"/>
      <w:pPr>
        <w:ind w:left="2442" w:hanging="360"/>
      </w:pPr>
      <w:rPr>
        <w:rFonts w:ascii="Wingdings" w:hAnsi="Wingdings" w:cs="Wingdings" w:hint="default"/>
        <w:rFonts w:cs="Wingdings"/>
      </w:rPr>
    </w:lvl>
    <w:lvl w:ilvl="3">
      <w:start w:val="1"/>
      <w:numFmt w:val="bullet"/>
      <w:lvlText w:val=""/>
      <w:lvlJc w:val="left"/>
      <w:pPr>
        <w:ind w:left="3162" w:hanging="360"/>
      </w:pPr>
      <w:rPr>
        <w:rFonts w:ascii="Symbol" w:hAnsi="Symbol" w:cs="Symbol" w:hint="default"/>
        <w:rFonts w:cs="Symbol"/>
      </w:rPr>
    </w:lvl>
    <w:lvl w:ilvl="4">
      <w:start w:val="1"/>
      <w:numFmt w:val="bullet"/>
      <w:lvlText w:val="o"/>
      <w:lvlJc w:val="left"/>
      <w:pPr>
        <w:ind w:left="3882" w:hanging="360"/>
      </w:pPr>
      <w:rPr>
        <w:rFonts w:ascii="Courier New" w:hAnsi="Courier New" w:cs="Courier New" w:hint="default"/>
        <w:rFonts w:cs="Courier New"/>
      </w:rPr>
    </w:lvl>
    <w:lvl w:ilvl="5">
      <w:start w:val="1"/>
      <w:numFmt w:val="bullet"/>
      <w:lvlText w:val=""/>
      <w:lvlJc w:val="left"/>
      <w:pPr>
        <w:ind w:left="4602" w:hanging="360"/>
      </w:pPr>
      <w:rPr>
        <w:rFonts w:ascii="Wingdings" w:hAnsi="Wingdings" w:cs="Wingdings" w:hint="default"/>
        <w:rFonts w:cs="Wingdings"/>
      </w:rPr>
    </w:lvl>
    <w:lvl w:ilvl="6">
      <w:start w:val="1"/>
      <w:numFmt w:val="bullet"/>
      <w:lvlText w:val=""/>
      <w:lvlJc w:val="left"/>
      <w:pPr>
        <w:ind w:left="5322" w:hanging="360"/>
      </w:pPr>
      <w:rPr>
        <w:rFonts w:ascii="Symbol" w:hAnsi="Symbol" w:cs="Symbol" w:hint="default"/>
        <w:rFonts w:cs="Symbol"/>
      </w:rPr>
    </w:lvl>
    <w:lvl w:ilvl="7">
      <w:start w:val="1"/>
      <w:numFmt w:val="bullet"/>
      <w:lvlText w:val="o"/>
      <w:lvlJc w:val="left"/>
      <w:pPr>
        <w:ind w:left="6042" w:hanging="360"/>
      </w:pPr>
      <w:rPr>
        <w:rFonts w:ascii="Courier New" w:hAnsi="Courier New" w:cs="Courier New" w:hint="default"/>
        <w:rFonts w:cs="Courier New"/>
      </w:rPr>
    </w:lvl>
    <w:lvl w:ilvl="8">
      <w:start w:val="1"/>
      <w:numFmt w:val="bullet"/>
      <w:lvlText w:val=""/>
      <w:lvlJc w:val="left"/>
      <w:pPr>
        <w:ind w:left="6762" w:hanging="360"/>
      </w:pPr>
      <w:rPr>
        <w:rFonts w:ascii="Wingdings" w:hAnsi="Wingdings" w:cs="Wingdings" w:hint="default"/>
        <w:rFonts w:cs="Wingdings"/>
      </w:rPr>
    </w:lvl>
  </w:abstractNum>
  <w:abstractNum w:abstractNumId="3">
    <w:lvl w:ilvl="0">
      <w:start w:val="1"/>
      <w:numFmt w:val="upperRoman"/>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360" w:hanging="360"/>
      </w:pPr>
      <w:rPr>
        <w:b/>
        <w:rFonts w:ascii="Arial" w:hAnsi="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lvl w:ilvl="0">
      <w:start w:val="1"/>
      <w:numFmt w:val="bullet"/>
      <w:lvlText w:val=""/>
      <w:lvlJc w:val="left"/>
      <w:pPr>
        <w:tabs>
          <w:tab w:val="num" w:pos="720"/>
        </w:tabs>
        <w:ind w:left="720" w:hanging="360"/>
      </w:pPr>
      <w:rPr>
        <w:rFonts w:ascii="Symbol" w:hAnsi="Symbol" w:cs="Symbol" w:hint="default"/>
        <w:rFonts w:cs="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fals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bg-BG"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bg-BG" w:eastAsia="en-US" w:bidi="ar-SA"/>
      </w:rPr>
    </w:rPrDefault>
    <w:pPrDefault>
      <w:pPr>
        <w:spacing w:lineRule="auto" w:line="254"/>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e122b"/>
    <w:pPr>
      <w:widowControl w:val="false"/>
      <w:suppressAutoHyphens w:val="true"/>
      <w:bidi w:val="0"/>
      <w:spacing w:lineRule="auto" w:line="240" w:before="0" w:after="0"/>
      <w:jc w:val="left"/>
    </w:pPr>
    <w:rPr>
      <w:rFonts w:ascii="Times New Roman" w:hAnsi="Times New Roman" w:eastAsia="SimSun" w:cs="Mangal"/>
      <w:color w:val="00000A"/>
      <w:sz w:val="24"/>
      <w:szCs w:val="24"/>
      <w:lang w:val="bg-BG" w:eastAsia="hi-IN" w:bidi="hi-IN"/>
    </w:rPr>
  </w:style>
  <w:style w:type="paragraph" w:styleId="1">
    <w:name w:val="Заглавие 1"/>
    <w:basedOn w:val="Style17"/>
    <w:pPr/>
    <w:rPr/>
  </w:style>
  <w:style w:type="paragraph" w:styleId="2">
    <w:name w:val="Заглавие 2"/>
    <w:basedOn w:val="Style17"/>
    <w:pPr/>
    <w:rPr/>
  </w:style>
  <w:style w:type="paragraph" w:styleId="3">
    <w:name w:val="Заглавие 3"/>
    <w:basedOn w:val="Style17"/>
    <w:pPr/>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ee122b"/>
    <w:rPr/>
  </w:style>
  <w:style w:type="character" w:styleId="FooterChar" w:customStyle="1">
    <w:name w:val="Footer Char"/>
    <w:basedOn w:val="DefaultParagraphFont"/>
    <w:link w:val="Footer"/>
    <w:uiPriority w:val="99"/>
    <w:qFormat/>
    <w:rsid w:val="00ee122b"/>
    <w:rPr/>
  </w:style>
  <w:style w:type="character" w:styleId="SGDPRAdministratorNameChar" w:customStyle="1">
    <w:name w:val="S_GDPR_AdministratorName Char"/>
    <w:basedOn w:val="DefaultParagraphFont"/>
    <w:link w:val="SGDPRAdministratorName"/>
    <w:qFormat/>
    <w:rsid w:val="00ee122b"/>
    <w:rPr>
      <w:rFonts w:eastAsia="SimSun" w:cs="Mangal"/>
      <w:color w:val="A6A6A6"/>
      <w:szCs w:val="24"/>
      <w:lang w:eastAsia="hi-IN" w:bidi="hi-IN"/>
    </w:rPr>
  </w:style>
  <w:style w:type="character" w:styleId="SGDPRFirmSignChar" w:customStyle="1">
    <w:name w:val="S_GDPR_FirmSign Char"/>
    <w:basedOn w:val="DefaultParagraphFont"/>
    <w:link w:val="SGDPRFirmSign"/>
    <w:qFormat/>
    <w:rsid w:val="00ee122b"/>
    <w:rPr>
      <w:rFonts w:eastAsia="Times New Roman" w:cs="Times New Roman"/>
      <w:color w:val="A6A6A6"/>
      <w:szCs w:val="24"/>
    </w:rPr>
  </w:style>
  <w:style w:type="character" w:styleId="SGDPRPersonResposibleNameChar" w:customStyle="1">
    <w:name w:val="S_GDPR_PersonResposibleName Char"/>
    <w:basedOn w:val="DefaultParagraphFont"/>
    <w:link w:val="SGDPRPersonResposibleName"/>
    <w:qFormat/>
    <w:rsid w:val="00ee122b"/>
    <w:rPr>
      <w:rFonts w:eastAsia="SimSun" w:cs="Mangal"/>
      <w:color w:val="A6A6A6"/>
      <w:szCs w:val="24"/>
      <w:lang w:eastAsia="hi-IN" w:bidi="hi-IN"/>
    </w:rPr>
  </w:style>
  <w:style w:type="character" w:styleId="SGDPREmailChar" w:customStyle="1">
    <w:name w:val="S_GDPR_Email Char"/>
    <w:basedOn w:val="DefaultParagraphFont"/>
    <w:link w:val="SGDPREmail"/>
    <w:qFormat/>
    <w:rsid w:val="00ee122b"/>
    <w:rPr>
      <w:rFonts w:eastAsia="SimSun" w:cs="Mangal"/>
      <w:color w:val="A6A6A6"/>
      <w:szCs w:val="24"/>
      <w:lang w:eastAsia="hi-IN" w:bidi="hi-IN"/>
    </w:rPr>
  </w:style>
  <w:style w:type="character" w:styleId="SGDPRPhoneChar" w:customStyle="1">
    <w:name w:val="S_GDPR_Phone Char"/>
    <w:basedOn w:val="DefaultParagraphFont"/>
    <w:link w:val="SGDPRPhone"/>
    <w:qFormat/>
    <w:rsid w:val="00ee122b"/>
    <w:rPr>
      <w:rFonts w:eastAsia="SimSun" w:cs="Mangal"/>
      <w:color w:val="A6A6A6"/>
      <w:szCs w:val="24"/>
      <w:lang w:eastAsia="hi-IN" w:bidi="hi-IN"/>
    </w:rPr>
  </w:style>
  <w:style w:type="character" w:styleId="SGDPRWebsiteChar" w:customStyle="1">
    <w:name w:val="S_GDPR_Website Char"/>
    <w:basedOn w:val="DefaultParagraphFont"/>
    <w:link w:val="SGDPRWebsite"/>
    <w:qFormat/>
    <w:rsid w:val="00ee122b"/>
    <w:rPr>
      <w:rFonts w:eastAsia="SimSun" w:cs="Mangal"/>
      <w:color w:val="A6A6A6"/>
      <w:szCs w:val="24"/>
      <w:lang w:eastAsia="hi-IN" w:bidi="hi-IN"/>
    </w:rPr>
  </w:style>
  <w:style w:type="character" w:styleId="Style11">
    <w:name w:val="Връзка към Интернет"/>
    <w:uiPriority w:val="99"/>
    <w:rsid w:val="00217a7d"/>
    <w:rPr>
      <w:color w:val="0000FF"/>
      <w:u w:val="single"/>
      <w:lang w:val="zxx" w:eastAsia="zxx" w:bidi="zxx"/>
    </w:rPr>
  </w:style>
  <w:style w:type="character" w:styleId="FootnoteTextChar" w:customStyle="1">
    <w:name w:val="Footnote Text Char"/>
    <w:basedOn w:val="DefaultParagraphFont"/>
    <w:link w:val="FootnoteText"/>
    <w:uiPriority w:val="99"/>
    <w:semiHidden/>
    <w:qFormat/>
    <w:rsid w:val="00217a7d"/>
    <w:rPr>
      <w:sz w:val="20"/>
      <w:szCs w:val="20"/>
      <w:lang w:val="en-GB"/>
    </w:rPr>
  </w:style>
  <w:style w:type="character" w:styleId="Footnotereference">
    <w:name w:val="footnote reference"/>
    <w:basedOn w:val="DefaultParagraphFont"/>
    <w:uiPriority w:val="99"/>
    <w:semiHidden/>
    <w:unhideWhenUsed/>
    <w:qFormat/>
    <w:rsid w:val="00217a7d"/>
    <w:rPr>
      <w:vertAlign w:val="superscript"/>
    </w:rPr>
  </w:style>
  <w:style w:type="character" w:styleId="SGDPRRegister1Char" w:customStyle="1">
    <w:name w:val="S_GDPR_Register1 Char"/>
    <w:basedOn w:val="DefaultParagraphFont"/>
    <w:link w:val="SGDPRRegister1"/>
    <w:qFormat/>
    <w:rsid w:val="00e86330"/>
    <w:rPr>
      <w:rFonts w:ascii="Arial" w:hAnsi="Arial" w:eastAsia="SimSun" w:cs="Arial"/>
      <w:color w:val="A6A6A6" w:themeColor="background1" w:themeShade="a6"/>
      <w:lang w:eastAsia="hi-IN" w:bidi="hi-IN"/>
    </w:rPr>
  </w:style>
  <w:style w:type="character" w:styleId="SGDPRRegister2Char" w:customStyle="1">
    <w:name w:val="S_GDPR_Register2 Char"/>
    <w:basedOn w:val="SGDPRRegister1Char"/>
    <w:link w:val="SGDPRRegister2"/>
    <w:qFormat/>
    <w:rsid w:val="002638a9"/>
    <w:rPr>
      <w:rFonts w:ascii="Arial" w:hAnsi="Arial" w:eastAsia="SimSun" w:cs="Arial"/>
      <w:color w:val="A6A6A6" w:themeColor="background1" w:themeShade="a6"/>
      <w:lang w:eastAsia="hi-IN" w:bidi="hi-IN"/>
    </w:rPr>
  </w:style>
  <w:style w:type="character" w:styleId="SGDPRRegister3Char" w:customStyle="1">
    <w:name w:val="S_GDPR_Register3 Char"/>
    <w:basedOn w:val="SGDPRRegister1Char"/>
    <w:link w:val="SGDPRRegister3"/>
    <w:qFormat/>
    <w:rsid w:val="006e7fdd"/>
    <w:rPr>
      <w:rFonts w:ascii="Arial" w:hAnsi="Arial" w:eastAsia="SimSun" w:cs="Arial"/>
      <w:color w:val="A6A6A6" w:themeColor="background1" w:themeShade="a6"/>
      <w:lang w:eastAsia="hi-IN" w:bidi="hi-IN"/>
    </w:rPr>
  </w:style>
  <w:style w:type="character" w:styleId="SGDPRRegister4Char" w:customStyle="1">
    <w:name w:val="S_GDPR_Register4 Char"/>
    <w:basedOn w:val="SGDPRRegister1Char"/>
    <w:link w:val="SGDPRRegister4"/>
    <w:qFormat/>
    <w:rsid w:val="00d517ea"/>
    <w:rPr>
      <w:rFonts w:ascii="Arial" w:hAnsi="Arial" w:eastAsia="SimSun" w:cs="Arial"/>
      <w:color w:val="A6A6A6" w:themeColor="background1" w:themeShade="a6"/>
      <w:lang w:eastAsia="hi-IN" w:bidi="hi-IN"/>
    </w:rPr>
  </w:style>
  <w:style w:type="character" w:styleId="ListLabel1">
    <w:name w:val="ListLabel 1"/>
    <w:qFormat/>
    <w:rPr>
      <w:rFonts w:cs="Courier New"/>
    </w:rPr>
  </w:style>
  <w:style w:type="character" w:styleId="ListLabel2">
    <w:name w:val="ListLabel 2"/>
    <w:qFormat/>
    <w:rPr>
      <w:b/>
    </w:rPr>
  </w:style>
  <w:style w:type="character" w:styleId="Style12">
    <w:name w:val="Знаци за бележки под линия"/>
    <w:qFormat/>
    <w:rPr/>
  </w:style>
  <w:style w:type="character" w:styleId="Style13">
    <w:name w:val="Котва на бележка под линия"/>
    <w:rPr>
      <w:vertAlign w:val="superscript"/>
    </w:rPr>
  </w:style>
  <w:style w:type="character" w:styleId="Style14">
    <w:name w:val="Котва на бележка в края"/>
    <w:rPr>
      <w:vertAlign w:val="superscript"/>
    </w:rPr>
  </w:style>
  <w:style w:type="character" w:styleId="Style15">
    <w:name w:val="Знаци за бележки в края"/>
    <w:qFormat/>
    <w:rPr/>
  </w:style>
  <w:style w:type="character" w:styleId="Style16">
    <w:name w:val="Водачи"/>
    <w:qFormat/>
    <w:rPr>
      <w:rFonts w:ascii="OpenSymbol" w:hAnsi="OpenSymbol" w:eastAsia="OpenSymbol" w:cs="OpenSymbol"/>
    </w:rPr>
  </w:style>
  <w:style w:type="character" w:styleId="ListLabel3">
    <w:name w:val="ListLabel 3"/>
    <w:qFormat/>
    <w:rPr>
      <w:rFonts w:ascii="Arial" w:hAnsi="Arial" w:cs="Symbol"/>
      <w:sz w:val="20"/>
    </w:rPr>
  </w:style>
  <w:style w:type="character" w:styleId="ListLabel4">
    <w:name w:val="ListLabel 4"/>
    <w:qFormat/>
    <w:rPr>
      <w:rFonts w:cs="Courier New"/>
    </w:rPr>
  </w:style>
  <w:style w:type="character" w:styleId="ListLabel5">
    <w:name w:val="ListLabel 5"/>
    <w:qFormat/>
    <w:rPr>
      <w:rFonts w:cs="Wingdings"/>
    </w:rPr>
  </w:style>
  <w:style w:type="character" w:styleId="ListLabel6">
    <w:name w:val="ListLabel 6"/>
    <w:qFormat/>
    <w:rPr>
      <w:rFonts w:cs="Symbol"/>
    </w:rPr>
  </w:style>
  <w:style w:type="character" w:styleId="ListLabel7">
    <w:name w:val="ListLabel 7"/>
    <w:qFormat/>
    <w:rPr>
      <w:rFonts w:cs="Courier New"/>
    </w:rPr>
  </w:style>
  <w:style w:type="character" w:styleId="ListLabel8">
    <w:name w:val="ListLabel 8"/>
    <w:qFormat/>
    <w:rPr>
      <w:rFonts w:cs="Wingdings"/>
    </w:rPr>
  </w:style>
  <w:style w:type="character" w:styleId="ListLabel9">
    <w:name w:val="ListLabel 9"/>
    <w:qFormat/>
    <w:rPr>
      <w:rFonts w:cs="Symbol"/>
    </w:rPr>
  </w:style>
  <w:style w:type="character" w:styleId="ListLabel10">
    <w:name w:val="ListLabel 10"/>
    <w:qFormat/>
    <w:rPr>
      <w:rFonts w:cs="Courier New"/>
    </w:rPr>
  </w:style>
  <w:style w:type="character" w:styleId="ListLabel11">
    <w:name w:val="ListLabel 11"/>
    <w:qFormat/>
    <w:rPr>
      <w:rFonts w:cs="Wingdings"/>
    </w:rPr>
  </w:style>
  <w:style w:type="character" w:styleId="ListLabel12">
    <w:name w:val="ListLabel 12"/>
    <w:qFormat/>
    <w:rPr>
      <w:rFonts w:ascii="Arial" w:hAnsi="Arial" w:cs="Courier New"/>
      <w:sz w:val="22"/>
    </w:rPr>
  </w:style>
  <w:style w:type="character" w:styleId="ListLabel13">
    <w:name w:val="ListLabel 13"/>
    <w:qFormat/>
    <w:rPr>
      <w:rFonts w:cs="Courier New"/>
    </w:rPr>
  </w:style>
  <w:style w:type="character" w:styleId="ListLabel14">
    <w:name w:val="ListLabel 14"/>
    <w:qFormat/>
    <w:rPr>
      <w:rFonts w:cs="Wingdings"/>
    </w:rPr>
  </w:style>
  <w:style w:type="character" w:styleId="ListLabel15">
    <w:name w:val="ListLabel 15"/>
    <w:qFormat/>
    <w:rPr>
      <w:rFonts w:cs="Symbol"/>
    </w:rPr>
  </w:style>
  <w:style w:type="character" w:styleId="ListLabel16">
    <w:name w:val="ListLabel 16"/>
    <w:qFormat/>
    <w:rPr>
      <w:rFonts w:cs="Courier New"/>
    </w:rPr>
  </w:style>
  <w:style w:type="character" w:styleId="ListLabel17">
    <w:name w:val="ListLabel 17"/>
    <w:qFormat/>
    <w:rPr>
      <w:rFonts w:cs="Wingdings"/>
    </w:rPr>
  </w:style>
  <w:style w:type="character" w:styleId="ListLabel18">
    <w:name w:val="ListLabel 18"/>
    <w:qFormat/>
    <w:rPr>
      <w:rFonts w:cs="Symbol"/>
    </w:rPr>
  </w:style>
  <w:style w:type="character" w:styleId="ListLabel19">
    <w:name w:val="ListLabel 19"/>
    <w:qFormat/>
    <w:rPr>
      <w:rFonts w:cs="Courier New"/>
    </w:rPr>
  </w:style>
  <w:style w:type="character" w:styleId="ListLabel20">
    <w:name w:val="ListLabel 20"/>
    <w:qFormat/>
    <w:rPr>
      <w:rFonts w:cs="Wingdings"/>
    </w:rPr>
  </w:style>
  <w:style w:type="character" w:styleId="ListLabel21">
    <w:name w:val="ListLabel 21"/>
    <w:qFormat/>
    <w:rPr>
      <w:rFonts w:ascii="Arial" w:hAnsi="Arial"/>
      <w:b/>
    </w:rPr>
  </w:style>
  <w:style w:type="character" w:styleId="ListLabel22">
    <w:name w:val="ListLabel 22"/>
    <w:qFormat/>
    <w:rPr>
      <w:rFonts w:cs="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Symbol"/>
    </w:rPr>
  </w:style>
  <w:style w:type="character" w:styleId="ListLabel29">
    <w:name w:val="ListLabel 29"/>
    <w:qFormat/>
    <w:rPr>
      <w:rFonts w:cs="OpenSymbol"/>
    </w:rPr>
  </w:style>
  <w:style w:type="character" w:styleId="ListLabel30">
    <w:name w:val="ListLabel 30"/>
    <w:qFormat/>
    <w:rPr>
      <w:rFonts w:cs="OpenSymbol"/>
    </w:rPr>
  </w:style>
  <w:style w:type="paragraph" w:styleId="Style17">
    <w:name w:val="Заглавие"/>
    <w:basedOn w:val="Normal"/>
    <w:next w:val="Style18"/>
    <w:qFormat/>
    <w:pPr>
      <w:keepNext/>
      <w:spacing w:before="240" w:after="120"/>
    </w:pPr>
    <w:rPr>
      <w:rFonts w:ascii="Liberation Sans" w:hAnsi="Liberation Sans" w:eastAsia="Arial Unicode MS" w:cs="Arial Unicode MS"/>
      <w:sz w:val="28"/>
      <w:szCs w:val="28"/>
    </w:rPr>
  </w:style>
  <w:style w:type="paragraph" w:styleId="Style18">
    <w:name w:val="Основен текст"/>
    <w:basedOn w:val="Normal"/>
    <w:pPr>
      <w:spacing w:lineRule="auto" w:line="288" w:before="0" w:after="140"/>
    </w:pPr>
    <w:rPr/>
  </w:style>
  <w:style w:type="paragraph" w:styleId="Style19">
    <w:name w:val="Списък"/>
    <w:basedOn w:val="Style18"/>
    <w:pPr/>
    <w:rPr/>
  </w:style>
  <w:style w:type="paragraph" w:styleId="Style20">
    <w:name w:val="Надпис"/>
    <w:basedOn w:val="Normal"/>
    <w:pPr>
      <w:suppressLineNumbers/>
      <w:spacing w:before="120" w:after="120"/>
    </w:pPr>
    <w:rPr>
      <w:i/>
      <w:iCs/>
      <w:sz w:val="24"/>
      <w:szCs w:val="24"/>
    </w:rPr>
  </w:style>
  <w:style w:type="paragraph" w:styleId="Style21">
    <w:name w:val="Указател"/>
    <w:basedOn w:val="Normal"/>
    <w:qFormat/>
    <w:pPr>
      <w:suppressLineNumbers/>
    </w:pPr>
    <w:rPr/>
  </w:style>
  <w:style w:type="paragraph" w:styleId="Style22">
    <w:name w:val="Горен колонтитул"/>
    <w:basedOn w:val="Normal"/>
    <w:link w:val="HeaderChar"/>
    <w:uiPriority w:val="99"/>
    <w:unhideWhenUsed/>
    <w:rsid w:val="00ee122b"/>
    <w:pPr>
      <w:widowControl/>
      <w:tabs>
        <w:tab w:val="center" w:pos="4536" w:leader="none"/>
        <w:tab w:val="right" w:pos="9072" w:leader="none"/>
      </w:tabs>
      <w:suppressAutoHyphens w:val="false"/>
    </w:pPr>
    <w:rPr>
      <w:rFonts w:ascii="Calibri" w:hAnsi="Calibri" w:eastAsia="Calibri" w:cs="" w:asciiTheme="minorHAnsi" w:cstheme="minorBidi" w:eastAsiaTheme="minorHAnsi" w:hAnsiTheme="minorHAnsi"/>
      <w:sz w:val="22"/>
      <w:szCs w:val="22"/>
      <w:lang w:eastAsia="en-US" w:bidi="ar-SA"/>
    </w:rPr>
  </w:style>
  <w:style w:type="paragraph" w:styleId="Style23">
    <w:name w:val="Долен колонтитул"/>
    <w:basedOn w:val="Normal"/>
    <w:link w:val="FooterChar"/>
    <w:uiPriority w:val="99"/>
    <w:unhideWhenUsed/>
    <w:rsid w:val="00ee122b"/>
    <w:pPr>
      <w:widowControl/>
      <w:tabs>
        <w:tab w:val="center" w:pos="4536" w:leader="none"/>
        <w:tab w:val="right" w:pos="9072" w:leader="none"/>
      </w:tabs>
      <w:suppressAutoHyphens w:val="false"/>
    </w:pPr>
    <w:rPr>
      <w:rFonts w:ascii="Calibri" w:hAnsi="Calibri" w:eastAsia="Calibri" w:cs="" w:asciiTheme="minorHAnsi" w:cstheme="minorBidi" w:eastAsiaTheme="minorHAnsi" w:hAnsiTheme="minorHAnsi"/>
      <w:sz w:val="22"/>
      <w:szCs w:val="22"/>
      <w:lang w:eastAsia="en-US" w:bidi="ar-SA"/>
    </w:rPr>
  </w:style>
  <w:style w:type="paragraph" w:styleId="SGDPRFirmSign" w:customStyle="1">
    <w:name w:val="S_GDPR_FirmSign"/>
    <w:basedOn w:val="Normal"/>
    <w:link w:val="SGDPRFirmSignChar"/>
    <w:qFormat/>
    <w:rsid w:val="00ee122b"/>
    <w:pPr>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alibri" w:hAnsi="Calibri" w:eastAsia="Times New Roman" w:cs="Times New Roman" w:asciiTheme="minorHAnsi" w:hAnsiTheme="minorHAnsi"/>
      <w:color w:val="A6A6A6"/>
      <w:sz w:val="22"/>
      <w:lang w:eastAsia="en-US" w:bidi="ar-SA"/>
    </w:rPr>
  </w:style>
  <w:style w:type="paragraph" w:styleId="SGDPRAdministratorName" w:customStyle="1">
    <w:name w:val="S_GDPR_AdministratorName"/>
    <w:basedOn w:val="Normal"/>
    <w:link w:val="SGDPRAdministratorNameChar"/>
    <w:qFormat/>
    <w:rsid w:val="00ee122b"/>
    <w:pPr/>
    <w:rPr>
      <w:rFonts w:ascii="Calibri" w:hAnsi="Calibri" w:asciiTheme="minorHAnsi" w:hAnsiTheme="minorHAnsi"/>
      <w:color w:val="A6A6A6"/>
      <w:sz w:val="22"/>
    </w:rPr>
  </w:style>
  <w:style w:type="paragraph" w:styleId="SGDPRPersonResposibleName" w:customStyle="1">
    <w:name w:val="S_GDPR_PersonResposibleName"/>
    <w:basedOn w:val="Normal"/>
    <w:link w:val="SGDPRPersonResposibleNameChar"/>
    <w:qFormat/>
    <w:rsid w:val="00ee122b"/>
    <w:pPr/>
    <w:rPr>
      <w:rFonts w:ascii="Calibri" w:hAnsi="Calibri" w:asciiTheme="minorHAnsi" w:hAnsiTheme="minorHAnsi"/>
      <w:color w:val="A6A6A6"/>
      <w:sz w:val="22"/>
    </w:rPr>
  </w:style>
  <w:style w:type="paragraph" w:styleId="Tabletext" w:customStyle="1">
    <w:name w:val="Tabletext"/>
    <w:basedOn w:val="Normal"/>
    <w:qFormat/>
    <w:rsid w:val="00ee122b"/>
    <w:pPr>
      <w:keepLines/>
      <w:suppressAutoHyphens w:val="false"/>
      <w:spacing w:lineRule="atLeast" w:line="240" w:before="0" w:after="120"/>
      <w:jc w:val="both"/>
    </w:pPr>
    <w:rPr>
      <w:rFonts w:eastAsia="Times New Roman" w:cs="Times New Roman"/>
      <w:color w:val="000000"/>
      <w:sz w:val="20"/>
      <w:szCs w:val="20"/>
      <w:lang w:val="en-US" w:eastAsia="ar-SA" w:bidi="ar-SA"/>
    </w:rPr>
  </w:style>
  <w:style w:type="paragraph" w:styleId="SGDPRWebsite" w:customStyle="1">
    <w:name w:val="S_GDPR_Website"/>
    <w:basedOn w:val="Normal"/>
    <w:link w:val="SGDPRWebsiteChar"/>
    <w:qFormat/>
    <w:rsid w:val="00ee122b"/>
    <w:pPr/>
    <w:rPr>
      <w:rFonts w:ascii="Calibri" w:hAnsi="Calibri" w:asciiTheme="minorHAnsi" w:hAnsiTheme="minorHAnsi"/>
      <w:color w:val="A6A6A6"/>
      <w:sz w:val="22"/>
    </w:rPr>
  </w:style>
  <w:style w:type="paragraph" w:styleId="SGDPREmail" w:customStyle="1">
    <w:name w:val="S_GDPR_Email"/>
    <w:basedOn w:val="Normal"/>
    <w:link w:val="SGDPREmailChar"/>
    <w:qFormat/>
    <w:rsid w:val="00ee122b"/>
    <w:pPr/>
    <w:rPr>
      <w:rFonts w:ascii="Calibri" w:hAnsi="Calibri" w:asciiTheme="minorHAnsi" w:hAnsiTheme="minorHAnsi"/>
      <w:color w:val="A6A6A6"/>
      <w:sz w:val="22"/>
    </w:rPr>
  </w:style>
  <w:style w:type="paragraph" w:styleId="SGDPRPhone" w:customStyle="1">
    <w:name w:val="S_GDPR_Phone"/>
    <w:basedOn w:val="Normal"/>
    <w:link w:val="SGDPRPhoneChar"/>
    <w:qFormat/>
    <w:rsid w:val="00ee122b"/>
    <w:pPr/>
    <w:rPr>
      <w:rFonts w:ascii="Calibri" w:hAnsi="Calibri" w:asciiTheme="minorHAnsi" w:hAnsiTheme="minorHAnsi"/>
      <w:color w:val="A6A6A6"/>
      <w:sz w:val="22"/>
    </w:rPr>
  </w:style>
  <w:style w:type="paragraph" w:styleId="ListParagraph">
    <w:name w:val="List Paragraph"/>
    <w:basedOn w:val="Normal"/>
    <w:uiPriority w:val="34"/>
    <w:qFormat/>
    <w:rsid w:val="00217a7d"/>
    <w:pPr>
      <w:widowControl/>
      <w:suppressAutoHyphens w:val="false"/>
      <w:ind w:left="720" w:hanging="0"/>
    </w:pPr>
    <w:rPr>
      <w:rFonts w:ascii="CG Times" w:hAnsi="CG Times" w:eastAsia="Times New Roman" w:cs="Times New Roman"/>
      <w:szCs w:val="20"/>
      <w:lang w:val="en-US" w:eastAsia="en-GB" w:bidi="ar-SA"/>
    </w:rPr>
  </w:style>
  <w:style w:type="paragraph" w:styleId="Footnotetext">
    <w:name w:val="footnote text"/>
    <w:basedOn w:val="Normal"/>
    <w:link w:val="FootnoteTextChar"/>
    <w:uiPriority w:val="99"/>
    <w:semiHidden/>
    <w:unhideWhenUsed/>
    <w:qFormat/>
    <w:rsid w:val="00217a7d"/>
    <w:pPr>
      <w:widowControl/>
      <w:suppressAutoHyphens w:val="false"/>
    </w:pPr>
    <w:rPr>
      <w:rFonts w:ascii="Calibri" w:hAnsi="Calibri" w:eastAsia="Calibri" w:cs="" w:asciiTheme="minorHAnsi" w:cstheme="minorBidi" w:eastAsiaTheme="minorHAnsi" w:hAnsiTheme="minorHAnsi"/>
      <w:sz w:val="20"/>
      <w:szCs w:val="20"/>
      <w:lang w:val="en-GB" w:eastAsia="en-US" w:bidi="ar-SA"/>
    </w:rPr>
  </w:style>
  <w:style w:type="paragraph" w:styleId="GDPRApisParts" w:customStyle="1">
    <w:name w:val="GDPR_Apis_Parts"/>
    <w:basedOn w:val="Normal"/>
    <w:qFormat/>
    <w:rsid w:val="00217a7d"/>
    <w:pPr>
      <w:widowControl/>
      <w:suppressAutoHyphens w:val="false"/>
      <w:spacing w:lineRule="auto" w:line="254" w:before="0" w:after="160"/>
    </w:pPr>
    <w:rPr>
      <w:rFonts w:ascii="Arial" w:hAnsi="Arial" w:eastAsia="Calibri" w:cs="" w:cstheme="minorBidi" w:eastAsiaTheme="minorHAnsi"/>
      <w:b/>
      <w:color w:val="000000" w:themeColor="text1"/>
      <w:sz w:val="28"/>
      <w:szCs w:val="22"/>
      <w:lang w:eastAsia="en-US" w:bidi="ar-SA"/>
    </w:rPr>
  </w:style>
  <w:style w:type="paragraph" w:styleId="SGDPRRegister1" w:customStyle="1">
    <w:name w:val="S_GDPR_Register1"/>
    <w:basedOn w:val="Normal"/>
    <w:link w:val="SGDPRRegister1Char"/>
    <w:qFormat/>
    <w:rsid w:val="00e86330"/>
    <w:pPr>
      <w:spacing w:before="0" w:after="120"/>
      <w:ind w:left="851" w:hanging="425"/>
    </w:pPr>
    <w:rPr>
      <w:rFonts w:ascii="Arial" w:hAnsi="Arial" w:cs="Arial"/>
      <w:color w:val="A6A6A6" w:themeColor="background1" w:themeShade="a6"/>
      <w:sz w:val="22"/>
      <w:szCs w:val="22"/>
    </w:rPr>
  </w:style>
  <w:style w:type="paragraph" w:styleId="SGDPRRegister2" w:customStyle="1">
    <w:name w:val="S_GDPR_Register2"/>
    <w:basedOn w:val="SGDPRRegister1"/>
    <w:next w:val="Normal"/>
    <w:link w:val="SGDPRRegister2Char"/>
    <w:qFormat/>
    <w:rsid w:val="002638a9"/>
    <w:pPr/>
    <w:rPr/>
  </w:style>
  <w:style w:type="paragraph" w:styleId="SGDPRRegister3" w:customStyle="1">
    <w:name w:val="S_GDPR_Register3"/>
    <w:basedOn w:val="SGDPRRegister1"/>
    <w:next w:val="Normal"/>
    <w:link w:val="SGDPRRegister3Char"/>
    <w:qFormat/>
    <w:rsid w:val="004e1541"/>
    <w:pPr/>
    <w:rPr/>
  </w:style>
  <w:style w:type="paragraph" w:styleId="SGDPRRegister4" w:customStyle="1">
    <w:name w:val="S_GDPR_Register4"/>
    <w:basedOn w:val="SGDPRRegister1"/>
    <w:next w:val="Normal"/>
    <w:link w:val="SGDPRRegister4Char"/>
    <w:qFormat/>
    <w:rsid w:val="004e1541"/>
    <w:pPr/>
    <w:rPr/>
  </w:style>
  <w:style w:type="paragraph" w:styleId="Style24">
    <w:name w:val="Бележка под линия"/>
    <w:basedOn w:val="Normal"/>
    <w:pPr/>
    <w:rPr/>
  </w:style>
  <w:style w:type="paragraph" w:styleId="Style25">
    <w:name w:val="Заглавие на документ"/>
    <w:basedOn w:val="Style17"/>
    <w:pPr/>
    <w:rPr/>
  </w:style>
  <w:style w:type="paragraph" w:styleId="Style26">
    <w:name w:val="Подзаглавие"/>
    <w:basedOn w:val="Style17"/>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ee122b"/>
    <w:pPr>
      <w:spacing w:after="0" w:line="240" w:lineRule="auto"/>
    </w:pPr>
    <w:rPr>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eb.apis.bg/e.php?celex=32016R0679&amp;ToPar=Art15" TargetMode="External"/><Relationship Id="rId3" Type="http://schemas.openxmlformats.org/officeDocument/2006/relationships/hyperlink" Target="https://web.apis.bg/e.php?celex=32016R0679&amp;ToPar=Art16" TargetMode="External"/><Relationship Id="rId4" Type="http://schemas.openxmlformats.org/officeDocument/2006/relationships/hyperlink" Target="https://web.apis.bg/e.php?celex=32016R0679&amp;ToPar=Art17" TargetMode="External"/><Relationship Id="rId5" Type="http://schemas.openxmlformats.org/officeDocument/2006/relationships/hyperlink" Target="https://web.apis.bg/e.php?celex=32016R0679&amp;ToPar=Art18" TargetMode="External"/><Relationship Id="rId6" Type="http://schemas.openxmlformats.org/officeDocument/2006/relationships/hyperlink" Target="https://web.apis.bg/e.php?celex=32016R0679&amp;ToPar=Art20" TargetMode="External"/><Relationship Id="rId7" Type="http://schemas.openxmlformats.org/officeDocument/2006/relationships/hyperlink" Target="https://web.apis.bg/e.php?celex=32016R0679&amp;ToPar=Art21" TargetMode="External"/><Relationship Id="rId8" Type="http://schemas.openxmlformats.org/officeDocument/2006/relationships/hyperlink" Target="https://web.apis.bg/e.php?celex=32016R0679&amp;ToPar=Art12" TargetMode="External"/><Relationship Id="rId9" Type="http://schemas.openxmlformats.org/officeDocument/2006/relationships/hyperlink" Target="https://web.apis.bg/e.php?celex=32016R0679&amp;ToPar=Art15" TargetMode="External"/><Relationship Id="rId10" Type="http://schemas.openxmlformats.org/officeDocument/2006/relationships/hyperlink" Target="https://web.apis.bg/e.php?celex=32016R0679&amp;ToPar=Art16" TargetMode="External"/><Relationship Id="rId11" Type="http://schemas.openxmlformats.org/officeDocument/2006/relationships/hyperlink" Target="https://web.apis.bg/e.php?celex=32016R0679&amp;ToPar=Art17" TargetMode="External"/><Relationship Id="rId12" Type="http://schemas.openxmlformats.org/officeDocument/2006/relationships/hyperlink" Target="https://web.apis.bg/e.php?celex=32016R0679&amp;ToPar=Art18" TargetMode="External"/><Relationship Id="rId13" Type="http://schemas.openxmlformats.org/officeDocument/2006/relationships/hyperlink" Target="https://web.apis.bg/e.php?celex=32016R0679&amp;ToPar=Art20" TargetMode="External"/><Relationship Id="rId14" Type="http://schemas.openxmlformats.org/officeDocument/2006/relationships/hyperlink" Target="https://web.apis.bg/e.php?celex=32016R0679&amp;ToPar=Art21"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notes" Target="footnotes.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Application>LibreOffice/5.1.1.3$Windows_x86 LibreOffice_project/89f508ef3ecebd2cfb8e1def0f0ba9a803b88a6d</Application>
  <Pages>5</Pages>
  <Words>1314</Words>
  <Characters>7408</Characters>
  <CharactersWithSpaces>8597</CharactersWithSpaces>
  <Paragraphs>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2018-03-08T08:21:00Z</dcterms:created>
  <dc:creator>© Apis Europe JSC</dc:creator>
  <dc:description/>
  <dc:language>en-US</dc:language>
  <cp:lastModifiedBy/>
  <dcterms:modified xsi:type="dcterms:W3CDTF">2018-05-25T16:41:24Z</dcterms:modified>
  <cp:revision>22</cp:revision>
  <dc:subject/>
  <dc:title>ПРОЦЕДУРА ЗА УПРАВЛЕНИЕ НА ИСКАНИЯТА ОТ СУБЕКТИТЕ</dc:title>
</cp:coreProperties>
</file>