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eastAsia="SimSun" w:cs="Arial"/>
          <w:sz w:val="24"/>
          <w:szCs w:val="24"/>
          <w:lang w:eastAsia="hi-IN" w:bidi="hi-IN"/>
        </w:rPr>
      </w:pPr>
      <w:r>
        <w:rPr>
          <w:rFonts w:eastAsia="SimSun" w:cs="Arial" w:ascii="Arial" w:hAnsi="Arial"/>
          <w:sz w:val="24"/>
          <w:szCs w:val="24"/>
          <w:lang w:eastAsia="hi-IN" w:bidi="hi-IN"/>
        </w:rPr>
      </w:r>
    </w:p>
    <w:tbl>
      <w:tblPr>
        <w:tblW w:w="9639" w:type="dxa"/>
        <w:jc w:val="left"/>
        <w:tblInd w:w="-10" w:type="dxa"/>
        <w:tblBorders>
          <w:top w:val="single" w:sz="4" w:space="0" w:color="000001"/>
          <w:left w:val="single" w:sz="4" w:space="0" w:color="000001"/>
          <w:bottom w:val="single" w:sz="4" w:space="0" w:color="000001"/>
          <w:insideH w:val="single" w:sz="4" w:space="0" w:color="000001"/>
        </w:tblBorders>
        <w:tblCellMar>
          <w:top w:w="0" w:type="dxa"/>
          <w:left w:w="98" w:type="dxa"/>
          <w:bottom w:w="0" w:type="dxa"/>
          <w:right w:w="108" w:type="dxa"/>
        </w:tblCellMar>
      </w:tblPr>
      <w:tblGrid>
        <w:gridCol w:w="991"/>
        <w:gridCol w:w="1276"/>
        <w:gridCol w:w="3118"/>
        <w:gridCol w:w="2267"/>
        <w:gridCol w:w="1987"/>
      </w:tblGrid>
      <w:tr>
        <w:trPr/>
        <w:tc>
          <w:tcPr>
            <w:tcW w:w="991"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Версия</w:t>
            </w:r>
          </w:p>
        </w:tc>
        <w:tc>
          <w:tcPr>
            <w:tcW w:w="1276"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Дата</w:t>
            </w:r>
          </w:p>
        </w:tc>
        <w:tc>
          <w:tcPr>
            <w:tcW w:w="3118"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Описание</w:t>
            </w:r>
          </w:p>
        </w:tc>
        <w:tc>
          <w:tcPr>
            <w:tcW w:w="22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color w:val="00000A"/>
              </w:rPr>
            </w:pPr>
            <w:r>
              <w:rPr>
                <w:rFonts w:cs="Arial" w:ascii="Arial" w:hAnsi="Arial"/>
                <w:b/>
                <w:color w:val="00000A"/>
                <w:sz w:val="18"/>
                <w:szCs w:val="18"/>
                <w:lang w:val="bg-BG"/>
              </w:rPr>
              <w:t>Автор</w:t>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Одобрил</w:t>
            </w:r>
          </w:p>
        </w:tc>
      </w:tr>
      <w:tr>
        <w:trPr/>
        <w:tc>
          <w:tcPr>
            <w:tcW w:w="991" w:type="dxa"/>
            <w:tcBorders>
              <w:top w:val="single" w:sz="4" w:space="0" w:color="000001"/>
              <w:left w:val="single" w:sz="4" w:space="0" w:color="000001"/>
              <w:bottom w:val="single" w:sz="4" w:space="0" w:color="000001"/>
              <w:insideH w:val="single" w:sz="4" w:space="0" w:color="000001"/>
            </w:tcBorders>
            <w:shd w:fill="auto" w:val="clear"/>
            <w:tcMar>
              <w:left w:w="98" w:type="dxa"/>
            </w:tcMar>
          </w:tcPr>
          <w:p>
            <w:pPr>
              <w:pStyle w:val="Tabletext"/>
              <w:keepLines w:val="false"/>
              <w:suppressAutoHyphens w:val="true"/>
              <w:spacing w:before="0" w:after="120"/>
              <w:rPr>
                <w:rFonts w:ascii="Arial" w:hAnsi="Arial" w:eastAsia="Times New Roman" w:cs="Arial"/>
                <w:color w:val="000000"/>
                <w:sz w:val="19"/>
                <w:szCs w:val="19"/>
                <w:lang w:val="bg-BG" w:eastAsia="ar-SA" w:bidi="ar-SA"/>
              </w:rPr>
            </w:pPr>
            <w:r>
              <w:rPr>
                <w:rFonts w:eastAsia="Times New Roman" w:cs="Arial" w:ascii="Arial" w:hAnsi="Arial"/>
                <w:color w:val="000000"/>
                <w:sz w:val="19"/>
                <w:szCs w:val="19"/>
                <w:lang w:val="bg-BG" w:eastAsia="ar-SA" w:bidi="ar-SA"/>
              </w:rPr>
            </w:r>
          </w:p>
        </w:tc>
        <w:tc>
          <w:tcPr>
            <w:tcW w:w="1276" w:type="dxa"/>
            <w:tcBorders>
              <w:top w:val="single" w:sz="4" w:space="0" w:color="000001"/>
              <w:left w:val="single" w:sz="4" w:space="0" w:color="000001"/>
              <w:bottom w:val="single" w:sz="4" w:space="0" w:color="000001"/>
              <w:insideH w:val="single" w:sz="4" w:space="0" w:color="000001"/>
            </w:tcBorders>
            <w:shd w:color="auto" w:fill="auto" w:val="clear"/>
            <w:tcMar>
              <w:left w:w="98" w:type="dxa"/>
            </w:tcMar>
          </w:tcPr>
          <w:p>
            <w:pPr>
              <w:pStyle w:val="Tabletext"/>
              <w:keepLines w:val="false"/>
              <w:suppressAutoHyphens w:val="true"/>
              <w:spacing w:before="0" w:after="120"/>
              <w:rPr>
                <w:rFonts w:ascii="Arial" w:hAnsi="Arial" w:eastAsia="Times New Roman" w:cs="Arial"/>
                <w:color w:val="000000"/>
                <w:sz w:val="19"/>
                <w:szCs w:val="19"/>
                <w:lang w:val="bg-BG" w:eastAsia="ar-SA" w:bidi="ar-SA"/>
              </w:rPr>
            </w:pPr>
            <w:r>
              <w:rPr>
                <w:rFonts w:eastAsia="Times New Roman" w:cs="Arial" w:ascii="Arial" w:hAnsi="Arial"/>
                <w:color w:val="000000"/>
                <w:sz w:val="19"/>
                <w:szCs w:val="19"/>
                <w:lang w:val="bg-BG" w:eastAsia="ar-SA" w:bidi="ar-SA"/>
              </w:rPr>
            </w:r>
          </w:p>
        </w:tc>
        <w:tc>
          <w:tcPr>
            <w:tcW w:w="3118" w:type="dxa"/>
            <w:tcBorders>
              <w:top w:val="single" w:sz="4" w:space="0" w:color="000001"/>
              <w:left w:val="single" w:sz="4" w:space="0" w:color="000001"/>
              <w:bottom w:val="single" w:sz="4" w:space="0" w:color="000001"/>
              <w:insideH w:val="single" w:sz="4" w:space="0" w:color="000001"/>
            </w:tcBorders>
            <w:shd w:color="auto" w:fill="auto" w:val="clear"/>
            <w:tcMar>
              <w:left w:w="98" w:type="dxa"/>
            </w:tcMar>
          </w:tcPr>
          <w:p>
            <w:pPr>
              <w:pStyle w:val="Tabletext"/>
              <w:keepLines w:val="false"/>
              <w:suppressAutoHyphens w:val="true"/>
              <w:spacing w:before="0" w:after="120"/>
              <w:rPr>
                <w:rFonts w:ascii="Arial" w:hAnsi="Arial" w:eastAsia="Times New Roman" w:cs="Arial"/>
                <w:color w:val="000000"/>
                <w:sz w:val="19"/>
                <w:szCs w:val="19"/>
                <w:lang w:val="bg-BG" w:eastAsia="ar-SA" w:bidi="ar-SA"/>
              </w:rPr>
            </w:pPr>
            <w:r>
              <w:rPr>
                <w:rFonts w:eastAsia="Times New Roman" w:cs="Arial" w:ascii="Arial" w:hAnsi="Arial"/>
                <w:color w:val="000000"/>
                <w:sz w:val="19"/>
                <w:szCs w:val="19"/>
                <w:lang w:val="bg-BG" w:eastAsia="ar-SA" w:bidi="ar-SA"/>
              </w:rPr>
            </w:r>
          </w:p>
        </w:tc>
        <w:tc>
          <w:tcPr>
            <w:tcW w:w="22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Tabletext"/>
              <w:keepLines w:val="false"/>
              <w:suppressAutoHyphens w:val="true"/>
              <w:spacing w:before="0" w:after="120"/>
              <w:rPr>
                <w:rFonts w:ascii="Arial" w:hAnsi="Arial" w:eastAsia="Times New Roman" w:cs="Arial"/>
                <w:color w:val="000000"/>
                <w:sz w:val="20"/>
                <w:szCs w:val="20"/>
                <w:lang w:val="en-US" w:eastAsia="ar-SA" w:bidi="ar-SA"/>
              </w:rPr>
            </w:pPr>
            <w:r>
              <w:rPr>
                <w:rFonts w:eastAsia="Times New Roman" w:cs="Arial" w:ascii="Arial" w:hAnsi="Arial"/>
                <w:color w:val="000000"/>
                <w:sz w:val="20"/>
                <w:szCs w:val="20"/>
                <w:lang w:val="en-US" w:eastAsia="ar-SA" w:bidi="ar-SA"/>
              </w:rPr>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Tabletext"/>
              <w:keepLines w:val="false"/>
              <w:suppressAutoHyphens w:val="true"/>
              <w:spacing w:before="0" w:after="120"/>
              <w:rPr>
                <w:rFonts w:ascii="Arial" w:hAnsi="Arial" w:eastAsia="Times New Roman" w:cs="Arial"/>
                <w:color w:val="000000"/>
                <w:sz w:val="20"/>
                <w:szCs w:val="20"/>
                <w:lang w:val="en-US" w:eastAsia="ar-SA" w:bidi="ar-SA"/>
              </w:rPr>
            </w:pPr>
            <w:r>
              <w:rPr>
                <w:rFonts w:eastAsia="Times New Roman" w:cs="Arial" w:ascii="Arial" w:hAnsi="Arial"/>
                <w:color w:val="000000"/>
                <w:sz w:val="20"/>
                <w:szCs w:val="20"/>
                <w:lang w:val="en-US" w:eastAsia="ar-SA" w:bidi="ar-SA"/>
              </w:rPr>
            </w:r>
          </w:p>
        </w:tc>
      </w:tr>
    </w:tbl>
    <w:p>
      <w:pPr>
        <w:pStyle w:val="Normal"/>
        <w:rPr>
          <w:rFonts w:ascii="Arial" w:hAnsi="Arial" w:eastAsia="SimSun" w:cs="Arial"/>
          <w:sz w:val="24"/>
          <w:szCs w:val="24"/>
          <w:lang w:eastAsia="hi-IN" w:bidi="hi-IN"/>
        </w:rPr>
      </w:pPr>
      <w:r>
        <w:rPr>
          <w:rFonts w:eastAsia="SimSun" w:cs="Arial" w:ascii="Arial" w:hAnsi="Arial"/>
          <w:sz w:val="24"/>
          <w:szCs w:val="24"/>
          <w:lang w:eastAsia="hi-IN" w:bidi="hi-IN"/>
        </w:rPr>
      </w:r>
    </w:p>
    <w:p>
      <w:pPr>
        <w:pStyle w:val="GDPRApisParts"/>
        <w:numPr>
          <w:ilvl w:val="0"/>
          <w:numId w:val="1"/>
        </w:numPr>
        <w:spacing w:lineRule="auto" w:line="240" w:before="240" w:after="240"/>
        <w:ind w:left="425" w:hanging="425"/>
        <w:rPr/>
      </w:pPr>
      <w:r>
        <w:rPr>
          <w:rFonts w:cs="Arial"/>
        </w:rPr>
        <w:t>Предназначение на процедурата</w:t>
      </w:r>
    </w:p>
    <w:p>
      <w:pPr>
        <w:pStyle w:val="Normal"/>
        <w:spacing w:before="0" w:after="120"/>
        <w:rPr/>
      </w:pPr>
      <w:r>
        <w:rPr>
          <w:rFonts w:cs="Arial" w:ascii="Arial" w:hAnsi="Arial"/>
          <w:sz w:val="22"/>
        </w:rPr>
        <w:t xml:space="preserve">Всички дейности и проекти, осъществявани от </w:t>
      </w:r>
      <w:r>
        <w:rPr>
          <w:rStyle w:val="SGDPRAdministratorNameChar"/>
          <w:rFonts w:cs="Arial" w:ascii="Arial" w:hAnsi="Arial"/>
          <w:sz w:val="22"/>
        </w:rPr>
        <w:t>ПАТО ЕООД</w:t>
      </w:r>
      <w:r>
        <w:rPr>
          <w:rFonts w:cs="Arial" w:ascii="Arial" w:hAnsi="Arial"/>
          <w:sz w:val="22"/>
        </w:rPr>
        <w:t xml:space="preserve">, които предвиждат обработка на лични данни, са предмет на предварителна оценка на риска. Когато тази оценка покаже, че съществува вероятност обработването да породи висок риск за правата и свободите на субектите на данни, преди да извърши обработването, </w:t>
      </w:r>
      <w:r>
        <w:rPr>
          <w:rStyle w:val="SGDPRAdministratorNameChar"/>
          <w:rFonts w:cs="Arial" w:ascii="Arial" w:hAnsi="Arial"/>
          <w:sz w:val="22"/>
        </w:rPr>
        <w:t>ПАТО ЕООД</w:t>
      </w:r>
      <w:r>
        <w:rPr>
          <w:rFonts w:cs="Arial" w:ascii="Arial" w:hAnsi="Arial"/>
          <w:sz w:val="22"/>
        </w:rPr>
        <w:t xml:space="preserve"> извършва също и оценка на въздействието върху защитата на данните (ОВЗД) съгласно изискванията на тази процедура.</w:t>
      </w:r>
    </w:p>
    <w:p>
      <w:pPr>
        <w:pStyle w:val="Normal"/>
        <w:spacing w:before="0" w:after="120"/>
        <w:rPr/>
      </w:pPr>
      <w:r>
        <w:rPr>
          <w:rFonts w:cs="Arial" w:ascii="Arial" w:hAnsi="Arial"/>
          <w:sz w:val="22"/>
        </w:rPr>
        <w:t xml:space="preserve">Освен при идентифициране на висок риск, ОВЗД се извършва задължително и в изброените в </w:t>
      </w:r>
      <w:hyperlink r:id="rId2">
        <w:r>
          <w:rPr>
            <w:rStyle w:val="Style14"/>
            <w:rFonts w:cs="Arial" w:ascii="Arial" w:hAnsi="Arial"/>
            <w:sz w:val="22"/>
          </w:rPr>
          <w:t>член 35, параграф 3 от ОРЗД</w:t>
        </w:r>
      </w:hyperlink>
      <w:r>
        <w:rPr>
          <w:rFonts w:cs="Arial" w:ascii="Arial" w:hAnsi="Arial"/>
          <w:sz w:val="22"/>
        </w:rPr>
        <w:t xml:space="preserve"> случаи:</w:t>
      </w:r>
    </w:p>
    <w:p>
      <w:pPr>
        <w:pStyle w:val="ListParagraph"/>
        <w:numPr>
          <w:ilvl w:val="0"/>
          <w:numId w:val="3"/>
        </w:numPr>
        <w:spacing w:lineRule="auto" w:line="240" w:before="0" w:after="120"/>
        <w:ind w:left="851" w:hanging="425"/>
        <w:rPr>
          <w:rFonts w:ascii="Arial" w:hAnsi="Arial" w:cs="Arial"/>
          <w:lang w:val="bg-BG"/>
        </w:rPr>
      </w:pPr>
      <w:r>
        <w:rPr>
          <w:rFonts w:cs="Arial" w:ascii="Arial" w:hAnsi="Arial"/>
          <w:lang w:val="bg-BG"/>
        </w:rPr>
        <w:t>когато се извършва систематична и подробна оценка на личните аспекти по отношение на физически лица, която се базира на автоматично обработване, включително профилиране, и служи за основа на решения, които имат правни последици за физическото лице или по подобен начин сериозно засягат физическото лице;</w:t>
      </w:r>
    </w:p>
    <w:p>
      <w:pPr>
        <w:pStyle w:val="ListParagraph"/>
        <w:numPr>
          <w:ilvl w:val="0"/>
          <w:numId w:val="3"/>
        </w:numPr>
        <w:spacing w:lineRule="auto" w:line="240" w:before="0" w:after="120"/>
        <w:ind w:left="851" w:hanging="425"/>
        <w:rPr>
          <w:rFonts w:ascii="Arial" w:hAnsi="Arial" w:cs="Arial"/>
          <w:lang w:val="bg-BG"/>
        </w:rPr>
      </w:pPr>
      <w:r>
        <w:rPr>
          <w:rFonts w:cs="Arial" w:ascii="Arial" w:hAnsi="Arial"/>
          <w:lang w:val="bg-BG"/>
        </w:rPr>
        <w:t>при мащабно обработване на „чувствителни“ лични данни или на лични данни за присъди и нарушения;</w:t>
      </w:r>
    </w:p>
    <w:p>
      <w:pPr>
        <w:pStyle w:val="ListParagraph"/>
        <w:numPr>
          <w:ilvl w:val="0"/>
          <w:numId w:val="3"/>
        </w:numPr>
        <w:spacing w:lineRule="auto" w:line="240" w:before="0" w:after="120"/>
        <w:ind w:left="851" w:hanging="425"/>
        <w:rPr>
          <w:rFonts w:ascii="Arial" w:hAnsi="Arial" w:cs="Arial"/>
          <w:lang w:val="bg-BG"/>
        </w:rPr>
      </w:pPr>
      <w:r>
        <w:rPr>
          <w:rFonts w:cs="Arial" w:ascii="Arial" w:hAnsi="Arial"/>
          <w:lang w:val="bg-BG"/>
        </w:rPr>
        <w:t>при систематично мащабно наблюдение на публично достъпна зона.</w:t>
      </w:r>
    </w:p>
    <w:p>
      <w:pPr>
        <w:pStyle w:val="Normal"/>
        <w:spacing w:before="0" w:after="120"/>
        <w:rPr/>
      </w:pPr>
      <w:r>
        <w:rPr>
          <w:rFonts w:cs="Arial" w:ascii="Arial" w:hAnsi="Arial"/>
          <w:sz w:val="22"/>
        </w:rPr>
        <w:t xml:space="preserve">ОВЗД е задължителна също и за видовете операции по обработване, посочени в списък, приет и оповестен от националния надзорен орган </w:t>
      </w:r>
      <w:r>
        <w:rPr>
          <w:rFonts w:cs="Arial" w:ascii="Arial" w:hAnsi="Arial"/>
          <w:sz w:val="22"/>
          <w:lang w:val="en-US"/>
        </w:rPr>
        <w:t>(</w:t>
      </w:r>
      <w:hyperlink r:id="rId3">
        <w:r>
          <w:rPr>
            <w:rStyle w:val="Style14"/>
            <w:rFonts w:cs="Arial" w:ascii="Arial" w:hAnsi="Arial"/>
            <w:sz w:val="22"/>
          </w:rPr>
          <w:t xml:space="preserve">чл. 35, пар. </w:t>
        </w:r>
        <w:r>
          <w:rPr>
            <w:rStyle w:val="Style14"/>
            <w:rFonts w:cs="Arial" w:ascii="Arial" w:hAnsi="Arial"/>
            <w:sz w:val="22"/>
            <w:lang w:val="en-US"/>
          </w:rPr>
          <w:t>4</w:t>
        </w:r>
        <w:r>
          <w:rPr>
            <w:rStyle w:val="Style14"/>
            <w:rFonts w:cs="Arial" w:ascii="Arial" w:hAnsi="Arial"/>
            <w:sz w:val="22"/>
          </w:rPr>
          <w:t xml:space="preserve"> от ОРЗД</w:t>
        </w:r>
      </w:hyperlink>
      <w:r>
        <w:rPr>
          <w:rFonts w:cs="Arial" w:ascii="Arial" w:hAnsi="Arial"/>
          <w:sz w:val="22"/>
          <w:lang w:val="en-US"/>
        </w:rPr>
        <w:t>)</w:t>
      </w:r>
      <w:r>
        <w:rPr>
          <w:rFonts w:cs="Arial" w:ascii="Arial" w:hAnsi="Arial"/>
          <w:sz w:val="22"/>
        </w:rPr>
        <w:t>.</w:t>
      </w:r>
    </w:p>
    <w:p>
      <w:pPr>
        <w:pStyle w:val="GDPRApisParts"/>
        <w:numPr>
          <w:ilvl w:val="0"/>
          <w:numId w:val="1"/>
        </w:numPr>
        <w:spacing w:lineRule="auto" w:line="240" w:before="240" w:after="240"/>
        <w:ind w:left="425" w:hanging="425"/>
        <w:rPr>
          <w:rFonts w:cs="Arial"/>
        </w:rPr>
      </w:pPr>
      <w:r>
        <w:rPr>
          <w:rFonts w:cs="Arial"/>
        </w:rPr>
        <w:t>Нормативна уредба</w:t>
      </w:r>
    </w:p>
    <w:p>
      <w:pPr>
        <w:pStyle w:val="ListParagraph"/>
        <w:numPr>
          <w:ilvl w:val="0"/>
          <w:numId w:val="3"/>
        </w:numPr>
        <w:spacing w:lineRule="auto" w:line="240" w:before="0" w:after="120"/>
        <w:ind w:left="851" w:hanging="425"/>
        <w:rPr/>
      </w:pPr>
      <w:hyperlink r:id="rId4">
        <w:r>
          <w:rPr>
            <w:rStyle w:val="Style14"/>
            <w:rFonts w:cs="Arial" w:ascii="Arial" w:hAnsi="Arial"/>
            <w:lang w:val="bg-BG"/>
          </w:rPr>
          <w:t>Член 35</w:t>
        </w:r>
      </w:hyperlink>
      <w:r>
        <w:rPr>
          <w:rFonts w:cs="Arial" w:ascii="Arial" w:hAnsi="Arial"/>
          <w:lang w:val="bg-BG"/>
        </w:rPr>
        <w:t xml:space="preserve"> и </w:t>
      </w:r>
      <w:hyperlink r:id="rId5">
        <w:r>
          <w:rPr>
            <w:rStyle w:val="Style14"/>
            <w:rFonts w:cs="Arial" w:ascii="Arial" w:hAnsi="Arial"/>
            <w:lang w:val="bg-BG"/>
          </w:rPr>
          <w:t>член 36</w:t>
        </w:r>
      </w:hyperlink>
      <w:r>
        <w:rPr>
          <w:rFonts w:cs="Arial" w:ascii="Arial" w:hAnsi="Arial"/>
          <w:lang w:val="bg-BG"/>
        </w:rPr>
        <w:t xml:space="preserve"> от Общия регламент за защита на данните </w:t>
      </w:r>
      <w:r>
        <w:rPr>
          <w:rFonts w:cs="Arial" w:ascii="Arial" w:hAnsi="Arial"/>
          <w:lang w:val="en-US"/>
        </w:rPr>
        <w:t>(</w:t>
      </w:r>
      <w:r>
        <w:rPr>
          <w:rFonts w:cs="Arial" w:ascii="Arial" w:hAnsi="Arial"/>
          <w:lang w:val="bg-BG"/>
        </w:rPr>
        <w:t>ОРЗД</w:t>
      </w:r>
      <w:r>
        <w:rPr>
          <w:rFonts w:cs="Arial" w:ascii="Arial" w:hAnsi="Arial"/>
          <w:lang w:val="en-US"/>
        </w:rPr>
        <w:t>)</w:t>
      </w:r>
    </w:p>
    <w:p>
      <w:pPr>
        <w:pStyle w:val="ListParagraph"/>
        <w:numPr>
          <w:ilvl w:val="0"/>
          <w:numId w:val="3"/>
        </w:numPr>
        <w:spacing w:lineRule="auto" w:line="240" w:before="0" w:after="120"/>
        <w:ind w:left="851" w:hanging="425"/>
        <w:rPr>
          <w:rFonts w:ascii="Arial" w:hAnsi="Arial" w:cs="Arial"/>
          <w:lang w:val="bg-BG"/>
        </w:rPr>
      </w:pPr>
      <w:hyperlink r:id="rId6">
        <w:r>
          <w:rPr>
            <w:rStyle w:val="Style14"/>
            <w:rFonts w:cs="Arial" w:ascii="Arial" w:hAnsi="Arial"/>
            <w:lang w:val="bg-BG"/>
          </w:rPr>
          <w:t>Насоки</w:t>
        </w:r>
      </w:hyperlink>
      <w:r>
        <w:rPr>
          <w:rFonts w:cs="Arial" w:ascii="Arial" w:hAnsi="Arial"/>
          <w:lang w:val="bg-BG"/>
        </w:rPr>
        <w:t xml:space="preserve"> относно оценката на въздействието върху защитата на данни (ОВЗД) и определяне дали съществува вероятност обработването „да породи висок риск" за целите на Регламент 2016/679</w:t>
      </w:r>
      <w:r>
        <w:rPr>
          <w:rStyle w:val="Style16"/>
          <w:rFonts w:cs="Arial" w:ascii="Arial" w:hAnsi="Arial"/>
          <w:lang w:val="bg-BG"/>
        </w:rPr>
        <w:footnoteReference w:id="2"/>
      </w:r>
    </w:p>
    <w:p>
      <w:pPr>
        <w:pStyle w:val="GDPRApisParts"/>
        <w:keepNext/>
        <w:numPr>
          <w:ilvl w:val="0"/>
          <w:numId w:val="1"/>
        </w:numPr>
        <w:spacing w:lineRule="auto" w:line="240" w:before="240" w:after="240"/>
        <w:ind w:left="425" w:hanging="425"/>
        <w:rPr>
          <w:rFonts w:cs="Arial"/>
        </w:rPr>
      </w:pPr>
      <w:r>
        <w:rPr>
          <w:rFonts w:cs="Arial"/>
        </w:rPr>
        <w:t>Задължения и роли</w:t>
      </w:r>
    </w:p>
    <w:p>
      <w:pPr>
        <w:pStyle w:val="Normal"/>
        <w:spacing w:before="0" w:after="120"/>
        <w:rPr>
          <w:rFonts w:ascii="Arial" w:hAnsi="Arial" w:cs="Arial"/>
          <w:sz w:val="22"/>
        </w:rPr>
      </w:pPr>
      <w:r>
        <w:rPr>
          <w:rFonts w:cs="Arial" w:ascii="Arial" w:hAnsi="Arial"/>
          <w:sz w:val="22"/>
        </w:rPr>
        <w:t>Длъжностното лице по защита на данните / Отговорникът по защита на данните отговаря за извършването на необходимите проверки</w:t>
      </w:r>
      <w:r>
        <w:rPr>
          <w:rStyle w:val="Style16"/>
          <w:rFonts w:cs="Arial" w:ascii="Arial" w:hAnsi="Arial"/>
          <w:sz w:val="22"/>
        </w:rPr>
        <w:footnoteReference w:id="3"/>
      </w:r>
      <w:r>
        <w:rPr>
          <w:rFonts w:cs="Arial" w:ascii="Arial" w:hAnsi="Arial"/>
          <w:sz w:val="22"/>
        </w:rPr>
        <w:t xml:space="preserve"> на личните данни, чиято цел е да се установи нуждата от провеждане на ОВЗД.</w:t>
      </w:r>
    </w:p>
    <w:p>
      <w:pPr>
        <w:pStyle w:val="Normal"/>
        <w:spacing w:before="0" w:after="120"/>
        <w:rPr/>
      </w:pPr>
      <w:r>
        <w:rPr>
          <w:rFonts w:cs="Arial" w:ascii="Arial" w:hAnsi="Arial"/>
          <w:sz w:val="22"/>
        </w:rPr>
        <w:t>Управителят, който е длъжностното лице, което отговаря  за управление на риска заедно с Длъжностното лице по защита на данните / Отговорникът по защита на данните споделят  отговорността за вземането на подходящи мерки за ограничаване на всички рискове, идентифицирани в процеса на оценка на въздействието, и за вземането на последващо решение за започване, респ. продължаване на обработката.</w:t>
      </w:r>
    </w:p>
    <w:p>
      <w:pPr>
        <w:pStyle w:val="Normal"/>
        <w:spacing w:before="0" w:after="120"/>
        <w:rPr/>
      </w:pPr>
      <w:r>
        <w:rPr>
          <w:rFonts w:cs="Arial" w:ascii="Arial" w:hAnsi="Arial"/>
          <w:sz w:val="22"/>
        </w:rPr>
        <w:t>Лицата, ръководещи отделните процеси по обработка на данните в организацията- , Главният счетоводител, Началник складовете, Отговорникът по здравословни и безопасни условия на труд, служителите по обработка на данни на контрагенти , са отговорни за своевременното известяване на Управителя и Длъжностното лице по защита на данните / Отговорника по защита на данните и за съвместното вземане на решения във връзка с възникнали рискове за сигурността на личните данни.</w:t>
      </w:r>
    </w:p>
    <w:p>
      <w:pPr>
        <w:pStyle w:val="GDPRApisParts"/>
        <w:numPr>
          <w:ilvl w:val="0"/>
          <w:numId w:val="1"/>
        </w:numPr>
        <w:spacing w:lineRule="auto" w:line="240" w:before="240" w:after="240"/>
        <w:ind w:left="425" w:hanging="425"/>
        <w:rPr>
          <w:rFonts w:cs="Arial"/>
        </w:rPr>
      </w:pPr>
      <w:r>
        <w:rPr>
          <w:rFonts w:cs="Arial"/>
        </w:rPr>
        <w:t>Ход на процедурата</w:t>
      </w:r>
    </w:p>
    <w:p>
      <w:pPr>
        <w:pStyle w:val="ListParagraph"/>
        <w:numPr>
          <w:ilvl w:val="0"/>
          <w:numId w:val="4"/>
        </w:numPr>
        <w:spacing w:lineRule="auto" w:line="240" w:before="0" w:after="120"/>
        <w:rPr>
          <w:rFonts w:ascii="Arial" w:hAnsi="Arial" w:cs="Arial"/>
          <w:b/>
          <w:b/>
          <w:sz w:val="24"/>
          <w:lang w:val="bg-BG"/>
        </w:rPr>
      </w:pPr>
      <w:r>
        <w:rPr>
          <w:rFonts w:cs="Arial" w:ascii="Arial" w:hAnsi="Arial"/>
          <w:b/>
          <w:sz w:val="24"/>
          <w:lang w:val="bg-BG"/>
        </w:rPr>
        <w:t>Анализ на рисковете и оценка на въздействието</w:t>
      </w:r>
    </w:p>
    <w:p>
      <w:pPr>
        <w:pStyle w:val="Normal"/>
        <w:spacing w:before="0" w:after="120"/>
        <w:rPr/>
      </w:pPr>
      <w:r>
        <w:rPr>
          <w:rFonts w:cs="Arial" w:ascii="Arial" w:hAnsi="Arial"/>
          <w:sz w:val="22"/>
        </w:rPr>
        <w:t>При започването на всяка дейност или проект Длъжностното лице по защита на данните / Отговорникът по защита на данните или Ръководителят на съответната дейност извършва оценка на риска съгласно изискванията на приетата в организацията на ПАТО ЕООД</w:t>
      </w:r>
      <w:r>
        <w:rPr>
          <w:rStyle w:val="SGDPRAdministratorNameChar"/>
          <w:rFonts w:cs="Arial" w:ascii="Arial" w:hAnsi="Arial"/>
          <w:sz w:val="22"/>
        </w:rPr>
        <w:t xml:space="preserve"> </w:t>
      </w:r>
      <w:r>
        <w:rPr>
          <w:rFonts w:cs="Arial" w:ascii="Arial" w:hAnsi="Arial"/>
          <w:sz w:val="22"/>
        </w:rPr>
        <w:t>методология за ОВЗД</w:t>
      </w:r>
      <w:r>
        <w:rPr>
          <w:rStyle w:val="Style16"/>
          <w:rFonts w:cs="Arial" w:ascii="Arial" w:hAnsi="Arial"/>
          <w:sz w:val="22"/>
        </w:rPr>
        <w:footnoteReference w:id="4"/>
      </w:r>
      <w:r>
        <w:rPr>
          <w:rFonts w:cs="Arial" w:ascii="Arial" w:hAnsi="Arial"/>
          <w:sz w:val="22"/>
        </w:rPr>
        <w:t>, като взема предвид вида на личните данни и начините за обработването им.</w:t>
      </w:r>
    </w:p>
    <w:p>
      <w:pPr>
        <w:pStyle w:val="Normal"/>
        <w:spacing w:before="0" w:after="120"/>
        <w:rPr/>
      </w:pPr>
      <w:r>
        <w:rPr>
          <w:rFonts w:cs="Arial" w:ascii="Arial" w:hAnsi="Arial"/>
          <w:sz w:val="22"/>
        </w:rPr>
        <w:t>Администраторът въвежда методологична рамка, която допълва съществуващите му работни практики, при условие че в нея се отчитат елементите, описани в </w:t>
      </w:r>
      <w:hyperlink r:id="rId7">
        <w:r>
          <w:rPr>
            <w:rStyle w:val="Style14"/>
            <w:rFonts w:cs="Arial" w:ascii="Arial" w:hAnsi="Arial"/>
            <w:sz w:val="22"/>
          </w:rPr>
          <w:t>член 35, параграф 7 от ОРЗД</w:t>
        </w:r>
      </w:hyperlink>
      <w:r>
        <w:rPr>
          <w:rFonts w:cs="Arial" w:ascii="Arial" w:hAnsi="Arial"/>
          <w:sz w:val="22"/>
        </w:rPr>
        <w:t xml:space="preserve">.  Администраторът сам избира методология, но тази методология следва да бъде в съответствие с критериите, посочени в Приложение 2 от </w:t>
      </w:r>
      <w:hyperlink r:id="rId8">
        <w:r>
          <w:rPr>
            <w:rStyle w:val="Style14"/>
            <w:rFonts w:cs="Arial" w:ascii="Arial" w:hAnsi="Arial"/>
            <w:sz w:val="22"/>
          </w:rPr>
          <w:t>Насоките</w:t>
        </w:r>
      </w:hyperlink>
      <w:r>
        <w:rPr>
          <w:rFonts w:cs="Arial" w:ascii="Arial" w:hAnsi="Arial"/>
          <w:sz w:val="22"/>
        </w:rPr>
        <w:t xml:space="preserve">. Тези критерии се използват от администратора, за да оцени дали извършената от него  ОВЗД, респ. използваната от него </w:t>
      </w:r>
      <w:r>
        <w:rPr>
          <w:rFonts w:cs="Arial" w:ascii="Arial" w:hAnsi="Arial"/>
          <w:sz w:val="22"/>
          <w:szCs w:val="22"/>
        </w:rPr>
        <w:t xml:space="preserve">методология за извършване на ОВЗД е достатъчно всеобхватна, така че да отговаря на </w:t>
      </w:r>
      <w:hyperlink r:id="rId9">
        <w:r>
          <w:rPr>
            <w:rStyle w:val="Style14"/>
            <w:rFonts w:cs="Arial" w:ascii="Arial" w:hAnsi="Arial"/>
            <w:sz w:val="22"/>
          </w:rPr>
          <w:t>ОРЗД</w:t>
        </w:r>
      </w:hyperlink>
      <w:r>
        <w:rPr>
          <w:rFonts w:cs="Arial" w:ascii="Arial" w:hAnsi="Arial"/>
          <w:sz w:val="22"/>
          <w:szCs w:val="22"/>
        </w:rPr>
        <w:t xml:space="preserve">. </w:t>
      </w:r>
    </w:p>
    <w:p>
      <w:pPr>
        <w:pStyle w:val="Normal"/>
        <w:spacing w:before="0" w:after="120"/>
        <w:rPr/>
      </w:pPr>
      <w:r>
        <w:rPr>
          <w:rFonts w:cs="Arial" w:ascii="Arial" w:hAnsi="Arial"/>
          <w:sz w:val="22"/>
        </w:rPr>
        <w:t xml:space="preserve">Въпреки че все още не е приведена в съответствие с ОРЗД, приетата от българския надзорен орган – Комисията за защита на личните данни, </w:t>
      </w:r>
      <w:hyperlink r:id="rId10">
        <w:r>
          <w:rPr>
            <w:rStyle w:val="Style14"/>
            <w:rFonts w:cs="Arial" w:ascii="Arial" w:hAnsi="Arial"/>
            <w:sz w:val="22"/>
          </w:rPr>
          <w:t>Наредба № 1</w:t>
        </w:r>
      </w:hyperlink>
      <w:r>
        <w:rPr>
          <w:rFonts w:cs="Arial" w:ascii="Arial" w:hAnsi="Arial"/>
          <w:sz w:val="22"/>
        </w:rPr>
        <w:t xml:space="preserve"> от 30.01.2013 г.</w:t>
      </w:r>
      <w:r>
        <w:rPr>
          <w:rStyle w:val="Footnotereference"/>
          <w:rFonts w:cs="Arial" w:ascii="Arial" w:hAnsi="Arial"/>
          <w:sz w:val="22"/>
        </w:rPr>
        <w:t xml:space="preserve"> </w:t>
      </w:r>
      <w:r>
        <w:rPr>
          <w:rStyle w:val="Footnotereference"/>
          <w:rStyle w:val="Style16"/>
          <w:rFonts w:cs="Arial" w:ascii="Arial" w:hAnsi="Arial"/>
          <w:sz w:val="22"/>
        </w:rPr>
        <w:footnoteReference w:id="5"/>
      </w:r>
      <w:r>
        <w:rPr>
          <w:rFonts w:cs="Arial" w:ascii="Arial" w:hAnsi="Arial"/>
          <w:sz w:val="22"/>
        </w:rPr>
        <w:t xml:space="preserve">, е добра основа за разработването на методология за ОВЗД от администратора. Съгласно </w:t>
      </w:r>
      <w:hyperlink r:id="rId11">
        <w:r>
          <w:rPr>
            <w:rStyle w:val="Style14"/>
            <w:rFonts w:cs="Arial" w:ascii="Arial" w:hAnsi="Arial"/>
            <w:sz w:val="22"/>
          </w:rPr>
          <w:t>Наредба № 1</w:t>
        </w:r>
      </w:hyperlink>
      <w:r>
        <w:rPr>
          <w:rFonts w:cs="Arial" w:ascii="Arial" w:hAnsi="Arial"/>
          <w:sz w:val="22"/>
        </w:rPr>
        <w:t xml:space="preserve">, администраторът извършва ОВЗД с цел определяне на адекватно ниво на технически и организационни мерки за защита на личните данни, което отговаря на обработваните от него лични данни и въздействието при нарушаване на защитата им. </w:t>
      </w:r>
    </w:p>
    <w:p>
      <w:pPr>
        <w:pStyle w:val="Normal"/>
        <w:spacing w:before="0" w:after="120"/>
        <w:rPr/>
      </w:pPr>
      <w:r>
        <w:rPr>
          <w:rFonts w:cs="Arial" w:ascii="Arial" w:hAnsi="Arial"/>
          <w:sz w:val="22"/>
        </w:rPr>
        <w:t xml:space="preserve">Оценката на въздействието е процес, при който администраторът преценява нивата на рисковете за правата и свободите на субектите на данни. Водещ критерий при тази преценка е степента (нивото) на въздействие, което нарушаването на поверителността, цялостността или наличността на личните данни би оказало върху конкретно физическо лице или група физически лица в зависимост от характера на обработваните лични данни и броя на засегнатите физически лица </w:t>
      </w:r>
      <w:r>
        <w:rPr>
          <w:rFonts w:cs="Arial" w:ascii="Arial" w:hAnsi="Arial"/>
          <w:sz w:val="22"/>
          <w:lang w:val="en-US"/>
        </w:rPr>
        <w:t>(</w:t>
      </w:r>
      <w:hyperlink r:id="rId12">
        <w:r>
          <w:rPr>
            <w:rStyle w:val="Style14"/>
            <w:rFonts w:cs="Arial" w:ascii="Arial" w:hAnsi="Arial"/>
            <w:sz w:val="22"/>
          </w:rPr>
          <w:t xml:space="preserve">чл. </w:t>
        </w:r>
        <w:r>
          <w:rPr>
            <w:rStyle w:val="Style14"/>
            <w:rFonts w:cs="Arial" w:ascii="Arial" w:hAnsi="Arial"/>
            <w:sz w:val="22"/>
            <w:lang w:val="en-US"/>
          </w:rPr>
          <w:t>11</w:t>
        </w:r>
        <w:r>
          <w:rPr>
            <w:rStyle w:val="Style14"/>
            <w:rFonts w:cs="Arial" w:ascii="Arial" w:hAnsi="Arial"/>
            <w:sz w:val="22"/>
          </w:rPr>
          <w:t>, ал. 2 от Наредба № 1</w:t>
        </w:r>
      </w:hyperlink>
      <w:r>
        <w:rPr>
          <w:rFonts w:cs="Arial" w:ascii="Arial" w:hAnsi="Arial"/>
          <w:sz w:val="22"/>
          <w:lang w:val="en-US"/>
        </w:rPr>
        <w:t>)</w:t>
      </w:r>
      <w:r>
        <w:rPr>
          <w:rFonts w:cs="Arial" w:ascii="Arial" w:hAnsi="Arial"/>
          <w:sz w:val="22"/>
        </w:rPr>
        <w:t>.</w:t>
      </w:r>
      <w:r>
        <w:rPr>
          <w:rFonts w:cs="Arial" w:ascii="Arial" w:hAnsi="Arial"/>
          <w:sz w:val="22"/>
          <w:lang w:val="en-US"/>
        </w:rPr>
        <w:t xml:space="preserve"> </w:t>
      </w:r>
    </w:p>
    <w:p>
      <w:pPr>
        <w:pStyle w:val="Normal"/>
        <w:spacing w:before="0" w:after="120"/>
        <w:rPr/>
      </w:pPr>
      <w:r>
        <w:rPr>
          <w:rFonts w:cs="Arial" w:ascii="Arial" w:hAnsi="Arial"/>
          <w:sz w:val="22"/>
        </w:rPr>
        <w:t>В съответствие с това,   администратора анализира вероятността за възникване на нарушение на сигурността на данните и да определи 4 нива на въздействие – ниско, средно, високо и изключително високо.</w:t>
      </w:r>
    </w:p>
    <w:p>
      <w:pPr>
        <w:pStyle w:val="Normal"/>
        <w:spacing w:before="0" w:after="120"/>
        <w:rPr/>
      </w:pPr>
      <w:r>
        <w:rPr>
          <w:rFonts w:cs="Arial" w:ascii="Arial" w:hAnsi="Arial"/>
          <w:sz w:val="22"/>
        </w:rPr>
        <w:t xml:space="preserve">При извършването на ОВЗД, администраторът  използва следната матрица за степенуване на въздействието </w:t>
      </w:r>
      <w:r>
        <w:rPr>
          <w:rFonts w:cs="Arial" w:ascii="Arial" w:hAnsi="Arial"/>
          <w:sz w:val="22"/>
          <w:lang w:val="en-US"/>
        </w:rPr>
        <w:t>(</w:t>
      </w:r>
      <w:r>
        <w:rPr>
          <w:rFonts w:cs="Arial" w:ascii="Arial" w:hAnsi="Arial"/>
          <w:sz w:val="22"/>
        </w:rPr>
        <w:t>риска</w:t>
      </w:r>
      <w:r>
        <w:rPr>
          <w:rFonts w:cs="Arial" w:ascii="Arial" w:hAnsi="Arial"/>
          <w:sz w:val="22"/>
          <w:lang w:val="en-US"/>
        </w:rPr>
        <w:t>)</w:t>
      </w:r>
      <w:r>
        <w:rPr>
          <w:rFonts w:cs="Arial" w:ascii="Arial" w:hAnsi="Arial"/>
          <w:sz w:val="22"/>
        </w:rPr>
        <w:t xml:space="preserve">, отчитаща вероятността за настъпване на съответното нарушение на сигурността на данните и величината на потенциалните неблагоприятни последици </w:t>
      </w:r>
      <w:r>
        <w:rPr>
          <w:rFonts w:cs="Arial" w:ascii="Arial" w:hAnsi="Arial"/>
          <w:sz w:val="22"/>
          <w:lang w:val="en-US"/>
        </w:rPr>
        <w:t>(</w:t>
      </w:r>
      <w:r>
        <w:rPr>
          <w:rFonts w:cs="Arial" w:ascii="Arial" w:hAnsi="Arial"/>
          <w:sz w:val="22"/>
        </w:rPr>
        <w:t>вреди</w:t>
      </w:r>
      <w:r>
        <w:rPr>
          <w:rFonts w:cs="Arial" w:ascii="Arial" w:hAnsi="Arial"/>
          <w:sz w:val="22"/>
          <w:lang w:val="en-US"/>
        </w:rPr>
        <w:t>)</w:t>
      </w:r>
      <w:r>
        <w:rPr>
          <w:rFonts w:cs="Arial" w:ascii="Arial" w:hAnsi="Arial"/>
          <w:sz w:val="22"/>
        </w:rPr>
        <w:t>:</w:t>
      </w:r>
    </w:p>
    <w:tbl>
      <w:tblPr>
        <w:tblStyle w:val="TableGrid"/>
        <w:tblW w:w="9361" w:type="dxa"/>
        <w:jc w:val="center"/>
        <w:tblInd w:w="0" w:type="dxa"/>
        <w:tblCellMar>
          <w:top w:w="0" w:type="dxa"/>
          <w:left w:w="103" w:type="dxa"/>
          <w:bottom w:w="0" w:type="dxa"/>
          <w:right w:w="108" w:type="dxa"/>
        </w:tblCellMar>
      </w:tblPr>
      <w:tblGrid>
        <w:gridCol w:w="703"/>
        <w:gridCol w:w="1700"/>
        <w:gridCol w:w="1701"/>
        <w:gridCol w:w="1701"/>
        <w:gridCol w:w="1701"/>
        <w:gridCol w:w="1854"/>
      </w:tblGrid>
      <w:tr>
        <w:trPr/>
        <w:tc>
          <w:tcPr>
            <w:tcW w:w="2403" w:type="dxa"/>
            <w:gridSpan w:val="2"/>
            <w:vMerge w:val="restart"/>
            <w:tcBorders/>
            <w:shd w:color="auto" w:fill="C9C9C9" w:themeFill="accent3" w:themeFillTint="99" w:val="clear"/>
            <w:tcMar>
              <w:left w:w="103" w:type="dxa"/>
            </w:tcMar>
            <w:vAlign w:val="center"/>
          </w:tcPr>
          <w:p>
            <w:pPr>
              <w:pStyle w:val="Normal"/>
              <w:spacing w:lineRule="auto" w:line="240" w:before="120" w:after="0"/>
              <w:jc w:val="center"/>
              <w:rPr>
                <w:rFonts w:ascii="Arial" w:hAnsi="Arial" w:eastAsia="SimSun" w:cs="Arial"/>
                <w:b/>
                <w:b/>
                <w:sz w:val="18"/>
                <w:szCs w:val="24"/>
                <w:lang w:val="en-GB" w:eastAsia="hi-IN" w:bidi="hi-IN"/>
              </w:rPr>
            </w:pPr>
            <w:r>
              <w:rPr>
                <w:rFonts w:eastAsia="SimSun" w:cs="Arial" w:ascii="Arial" w:hAnsi="Arial"/>
                <w:b/>
                <w:sz w:val="18"/>
                <w:szCs w:val="24"/>
                <w:lang w:val="en-GB" w:eastAsia="hi-IN" w:bidi="hi-IN"/>
              </w:rPr>
            </w:r>
          </w:p>
        </w:tc>
        <w:tc>
          <w:tcPr>
            <w:tcW w:w="6957" w:type="dxa"/>
            <w:gridSpan w:val="4"/>
            <w:tcBorders/>
            <w:shd w:color="auto" w:fill="auto" w:val="clear"/>
            <w:tcMar>
              <w:left w:w="103" w:type="dxa"/>
            </w:tcMar>
            <w:vAlign w:val="center"/>
          </w:tcPr>
          <w:p>
            <w:pPr>
              <w:pStyle w:val="Normal"/>
              <w:spacing w:lineRule="auto" w:line="240" w:before="120" w:after="0"/>
              <w:jc w:val="center"/>
              <w:rPr>
                <w:rFonts w:ascii="Arial" w:hAnsi="Arial" w:cs="Arial"/>
                <w:b/>
                <w:b/>
                <w:sz w:val="18"/>
                <w:lang w:val="bg-BG"/>
              </w:rPr>
            </w:pPr>
            <w:r>
              <w:rPr>
                <w:rFonts w:cs="Arial" w:ascii="Arial" w:hAnsi="Arial"/>
                <w:b/>
                <w:lang w:val="bg-BG"/>
              </w:rPr>
              <w:t>Последици</w:t>
            </w:r>
          </w:p>
        </w:tc>
      </w:tr>
      <w:tr>
        <w:trPr/>
        <w:tc>
          <w:tcPr>
            <w:tcW w:w="2403" w:type="dxa"/>
            <w:gridSpan w:val="2"/>
            <w:vMerge w:val="continue"/>
            <w:tcBorders/>
            <w:shd w:color="auto" w:fill="C9C9C9" w:themeFill="accent3" w:themeFillTint="99" w:val="clear"/>
            <w:tcMar>
              <w:left w:w="103" w:type="dxa"/>
            </w:tcMar>
            <w:vAlign w:val="center"/>
          </w:tcPr>
          <w:p>
            <w:pPr>
              <w:pStyle w:val="Normal"/>
              <w:spacing w:lineRule="auto" w:line="240" w:before="120" w:after="0"/>
              <w:jc w:val="center"/>
              <w:rPr>
                <w:rFonts w:ascii="Arial" w:hAnsi="Arial" w:eastAsia="SimSun" w:cs="Arial"/>
                <w:b/>
                <w:b/>
                <w:sz w:val="18"/>
                <w:szCs w:val="24"/>
                <w:lang w:val="en-GB" w:eastAsia="hi-IN" w:bidi="hi-IN"/>
              </w:rPr>
            </w:pPr>
            <w:r>
              <w:rPr>
                <w:rFonts w:eastAsia="SimSun" w:cs="Arial" w:ascii="Arial" w:hAnsi="Arial"/>
                <w:b/>
                <w:sz w:val="18"/>
                <w:szCs w:val="24"/>
                <w:lang w:val="en-GB" w:eastAsia="hi-IN" w:bidi="hi-IN"/>
              </w:rPr>
            </w:r>
          </w:p>
        </w:tc>
        <w:tc>
          <w:tcPr>
            <w:tcW w:w="1701" w:type="dxa"/>
            <w:tcBorders/>
            <w:shd w:color="auto" w:fill="auto" w:val="clear"/>
            <w:tcMar>
              <w:left w:w="103" w:type="dxa"/>
            </w:tcMar>
            <w:vAlign w:val="center"/>
          </w:tcPr>
          <w:p>
            <w:pPr>
              <w:pStyle w:val="Normal"/>
              <w:spacing w:lineRule="auto" w:line="240" w:before="120" w:after="0"/>
              <w:jc w:val="center"/>
              <w:rPr>
                <w:rFonts w:ascii="Arial" w:hAnsi="Arial" w:cs="Arial"/>
                <w:b/>
                <w:b/>
                <w:sz w:val="18"/>
                <w:lang w:val="bg-BG"/>
              </w:rPr>
            </w:pPr>
            <w:r>
              <w:rPr>
                <w:rFonts w:cs="Arial" w:ascii="Arial" w:hAnsi="Arial"/>
                <w:b/>
                <w:sz w:val="18"/>
                <w:lang w:val="bg-BG"/>
              </w:rPr>
              <w:t>Ограничени</w:t>
            </w:r>
          </w:p>
        </w:tc>
        <w:tc>
          <w:tcPr>
            <w:tcW w:w="1701" w:type="dxa"/>
            <w:tcBorders/>
            <w:shd w:color="auto" w:fill="auto" w:val="clear"/>
            <w:tcMar>
              <w:left w:w="103" w:type="dxa"/>
            </w:tcMar>
            <w:vAlign w:val="center"/>
          </w:tcPr>
          <w:p>
            <w:pPr>
              <w:pStyle w:val="Normal"/>
              <w:spacing w:lineRule="auto" w:line="240" w:before="120" w:after="0"/>
              <w:jc w:val="center"/>
              <w:rPr>
                <w:rFonts w:ascii="Arial" w:hAnsi="Arial" w:cs="Arial"/>
                <w:b/>
                <w:b/>
                <w:sz w:val="18"/>
                <w:lang w:val="bg-BG"/>
              </w:rPr>
            </w:pPr>
            <w:r>
              <w:rPr>
                <w:rFonts w:cs="Arial" w:ascii="Arial" w:hAnsi="Arial"/>
                <w:b/>
                <w:sz w:val="18"/>
                <w:lang w:val="bg-BG"/>
              </w:rPr>
              <w:t>Средни</w:t>
            </w:r>
          </w:p>
        </w:tc>
        <w:tc>
          <w:tcPr>
            <w:tcW w:w="1701" w:type="dxa"/>
            <w:tcBorders/>
            <w:shd w:color="auto" w:fill="auto" w:val="clear"/>
            <w:tcMar>
              <w:left w:w="103" w:type="dxa"/>
            </w:tcMar>
            <w:vAlign w:val="center"/>
          </w:tcPr>
          <w:p>
            <w:pPr>
              <w:pStyle w:val="Normal"/>
              <w:spacing w:lineRule="auto" w:line="240" w:before="120" w:after="0"/>
              <w:jc w:val="center"/>
              <w:rPr>
                <w:rFonts w:ascii="Arial" w:hAnsi="Arial" w:cs="Arial"/>
                <w:b/>
                <w:b/>
                <w:sz w:val="18"/>
                <w:lang w:val="bg-BG"/>
              </w:rPr>
            </w:pPr>
            <w:r>
              <w:rPr>
                <w:rFonts w:cs="Arial" w:ascii="Arial" w:hAnsi="Arial"/>
                <w:b/>
                <w:sz w:val="18"/>
                <w:lang w:val="bg-BG"/>
              </w:rPr>
              <w:t>Тежки</w:t>
            </w:r>
          </w:p>
        </w:tc>
        <w:tc>
          <w:tcPr>
            <w:tcW w:w="1854" w:type="dxa"/>
            <w:tcBorders/>
            <w:shd w:color="auto" w:fill="auto" w:val="clear"/>
            <w:tcMar>
              <w:left w:w="103" w:type="dxa"/>
            </w:tcMar>
            <w:vAlign w:val="center"/>
          </w:tcPr>
          <w:p>
            <w:pPr>
              <w:pStyle w:val="Normal"/>
              <w:spacing w:lineRule="auto" w:line="240" w:before="120" w:after="0"/>
              <w:jc w:val="center"/>
              <w:rPr>
                <w:rFonts w:ascii="Arial" w:hAnsi="Arial" w:cs="Arial"/>
                <w:b/>
                <w:b/>
                <w:sz w:val="18"/>
                <w:lang w:val="bg-BG"/>
              </w:rPr>
            </w:pPr>
            <w:r>
              <w:rPr>
                <w:rFonts w:cs="Arial" w:ascii="Arial" w:hAnsi="Arial"/>
                <w:b/>
                <w:sz w:val="18"/>
                <w:lang w:val="bg-BG"/>
              </w:rPr>
              <w:t>Много тежки</w:t>
            </w:r>
          </w:p>
        </w:tc>
      </w:tr>
      <w:tr>
        <w:trPr/>
        <w:tc>
          <w:tcPr>
            <w:tcW w:w="703" w:type="dxa"/>
            <w:vMerge w:val="restart"/>
            <w:tcBorders/>
            <w:shd w:color="auto" w:fill="auto" w:val="clear"/>
            <w:tcMar>
              <w:left w:w="103" w:type="dxa"/>
            </w:tcMar>
            <w:textDirection w:val="btLr"/>
            <w:vAlign w:val="center"/>
          </w:tcPr>
          <w:p>
            <w:pPr>
              <w:pStyle w:val="Normal"/>
              <w:spacing w:lineRule="auto" w:line="240" w:before="60" w:after="0"/>
              <w:ind w:left="113" w:right="113" w:hanging="0"/>
              <w:jc w:val="center"/>
              <w:rPr>
                <w:rFonts w:ascii="Arial" w:hAnsi="Arial" w:cs="Arial"/>
                <w:b/>
                <w:b/>
                <w:sz w:val="18"/>
                <w:lang w:val="bg-BG"/>
              </w:rPr>
            </w:pPr>
            <w:r>
              <w:rPr>
                <w:rFonts w:cs="Arial" w:ascii="Arial" w:hAnsi="Arial"/>
                <w:b/>
                <w:lang w:val="bg-BG"/>
              </w:rPr>
              <w:t>Вероятност</w:t>
            </w:r>
          </w:p>
        </w:tc>
        <w:tc>
          <w:tcPr>
            <w:tcW w:w="1700" w:type="dxa"/>
            <w:tcBorders/>
            <w:shd w:color="auto" w:fill="auto" w:val="clear"/>
            <w:tcMar>
              <w:left w:w="103" w:type="dxa"/>
            </w:tcMar>
            <w:vAlign w:val="center"/>
          </w:tcPr>
          <w:p>
            <w:pPr>
              <w:pStyle w:val="Normal"/>
              <w:spacing w:lineRule="auto" w:line="240" w:before="120" w:after="0"/>
              <w:jc w:val="center"/>
              <w:rPr>
                <w:rFonts w:ascii="Arial" w:hAnsi="Arial" w:eastAsia="SimSun" w:cs="Arial"/>
                <w:b/>
                <w:b/>
                <w:sz w:val="18"/>
                <w:szCs w:val="24"/>
                <w:lang w:val="en-GB" w:eastAsia="hi-IN" w:bidi="hi-IN"/>
              </w:rPr>
            </w:pPr>
            <w:r>
              <w:rPr>
                <w:rFonts w:eastAsia="SimSun" w:cs="Arial" w:ascii="Arial" w:hAnsi="Arial"/>
                <w:b/>
                <w:sz w:val="18"/>
                <w:szCs w:val="24"/>
                <w:lang w:val="en-GB" w:eastAsia="hi-IN" w:bidi="hi-IN"/>
              </w:rPr>
            </w:r>
          </w:p>
          <w:p>
            <w:pPr>
              <w:pStyle w:val="Normal"/>
              <w:spacing w:lineRule="auto" w:line="240" w:before="120" w:after="0"/>
              <w:jc w:val="center"/>
              <w:rPr>
                <w:rFonts w:ascii="Arial" w:hAnsi="Arial" w:cs="Arial"/>
                <w:b/>
                <w:b/>
                <w:sz w:val="18"/>
                <w:lang w:val="bg-BG"/>
              </w:rPr>
            </w:pPr>
            <w:r>
              <w:rPr>
                <w:rFonts w:cs="Arial" w:ascii="Arial" w:hAnsi="Arial"/>
                <w:b/>
                <w:sz w:val="18"/>
                <w:lang w:val="en-GB"/>
              </w:rPr>
              <w:t>Малка</w:t>
            </w:r>
          </w:p>
          <w:p>
            <w:pPr>
              <w:pStyle w:val="Normal"/>
              <w:spacing w:lineRule="auto" w:line="240" w:before="120" w:after="0"/>
              <w:jc w:val="center"/>
              <w:rPr>
                <w:rFonts w:ascii="Arial" w:hAnsi="Arial" w:eastAsia="SimSun" w:cs="Arial"/>
                <w:b/>
                <w:b/>
                <w:sz w:val="18"/>
                <w:szCs w:val="24"/>
                <w:lang w:val="en-GB" w:eastAsia="hi-IN" w:bidi="hi-IN"/>
              </w:rPr>
            </w:pPr>
            <w:r>
              <w:rPr>
                <w:rFonts w:eastAsia="SimSun" w:cs="Arial" w:ascii="Arial" w:hAnsi="Arial"/>
                <w:b/>
                <w:sz w:val="18"/>
                <w:szCs w:val="24"/>
                <w:lang w:val="en-GB" w:eastAsia="hi-IN" w:bidi="hi-IN"/>
              </w:rPr>
            </w:r>
          </w:p>
        </w:tc>
        <w:tc>
          <w:tcPr>
            <w:tcW w:w="1701" w:type="dxa"/>
            <w:tcBorders/>
            <w:shd w:color="auto" w:fill="92D050" w:val="clear"/>
            <w:tcMar>
              <w:left w:w="103" w:type="dxa"/>
            </w:tcMar>
            <w:vAlign w:val="center"/>
          </w:tcPr>
          <w:p>
            <w:pPr>
              <w:pStyle w:val="Normal"/>
              <w:spacing w:lineRule="auto" w:line="240" w:before="120" w:after="0"/>
              <w:jc w:val="center"/>
              <w:rPr>
                <w:rFonts w:ascii="Arial" w:hAnsi="Arial" w:cs="Arial"/>
                <w:b/>
                <w:b/>
                <w:sz w:val="20"/>
                <w:lang w:val="bg-BG"/>
              </w:rPr>
            </w:pPr>
            <w:r>
              <w:rPr>
                <w:rFonts w:cs="Arial" w:ascii="Arial" w:hAnsi="Arial"/>
                <w:b/>
                <w:sz w:val="20"/>
                <w:lang w:val="bg-BG"/>
              </w:rPr>
              <w:t>Ниско</w:t>
            </w:r>
          </w:p>
          <w:p>
            <w:pPr>
              <w:pStyle w:val="Normal"/>
              <w:spacing w:lineRule="auto" w:line="240" w:before="120" w:after="0"/>
              <w:jc w:val="center"/>
              <w:rPr>
                <w:rFonts w:ascii="Arial" w:hAnsi="Arial" w:cs="Arial"/>
                <w:b/>
                <w:b/>
                <w:sz w:val="18"/>
                <w:lang w:val="bg-BG"/>
              </w:rPr>
            </w:pPr>
            <w:r>
              <w:rPr>
                <w:rFonts w:cs="Arial" w:ascii="Arial" w:hAnsi="Arial"/>
                <w:b/>
                <w:sz w:val="18"/>
                <w:lang w:val="bg-BG"/>
              </w:rPr>
              <w:t>- 1 -</w:t>
            </w:r>
          </w:p>
        </w:tc>
        <w:tc>
          <w:tcPr>
            <w:tcW w:w="1701" w:type="dxa"/>
            <w:tcBorders/>
            <w:shd w:color="auto" w:fill="FFFF00" w:val="clear"/>
            <w:tcMar>
              <w:left w:w="103" w:type="dxa"/>
            </w:tcMar>
            <w:vAlign w:val="center"/>
          </w:tcPr>
          <w:p>
            <w:pPr>
              <w:pStyle w:val="Normal"/>
              <w:spacing w:lineRule="auto" w:line="240" w:before="120" w:after="0"/>
              <w:jc w:val="center"/>
              <w:rPr>
                <w:rFonts w:ascii="Arial" w:hAnsi="Arial" w:cs="Arial"/>
                <w:b/>
                <w:b/>
                <w:sz w:val="20"/>
                <w:lang w:val="bg-BG"/>
              </w:rPr>
            </w:pPr>
            <w:r>
              <w:rPr>
                <w:rFonts w:cs="Arial" w:ascii="Arial" w:hAnsi="Arial"/>
                <w:b/>
                <w:sz w:val="20"/>
                <w:lang w:val="bg-BG"/>
              </w:rPr>
              <w:t>Средно</w:t>
            </w:r>
          </w:p>
          <w:p>
            <w:pPr>
              <w:pStyle w:val="Normal"/>
              <w:spacing w:lineRule="auto" w:line="240" w:before="120" w:after="0"/>
              <w:jc w:val="center"/>
              <w:rPr>
                <w:rFonts w:ascii="Arial" w:hAnsi="Arial" w:cs="Arial"/>
                <w:b/>
                <w:b/>
                <w:sz w:val="18"/>
                <w:lang w:val="bg-BG"/>
              </w:rPr>
            </w:pPr>
            <w:r>
              <w:rPr>
                <w:rFonts w:cs="Arial" w:ascii="Arial" w:hAnsi="Arial"/>
                <w:b/>
                <w:sz w:val="18"/>
                <w:lang w:val="bg-BG"/>
              </w:rPr>
              <w:t>- 4 -</w:t>
            </w:r>
          </w:p>
        </w:tc>
        <w:tc>
          <w:tcPr>
            <w:tcW w:w="1701" w:type="dxa"/>
            <w:tcBorders/>
            <w:shd w:color="auto" w:fill="FFFF00" w:val="clear"/>
            <w:tcMar>
              <w:left w:w="103" w:type="dxa"/>
            </w:tcMar>
            <w:vAlign w:val="center"/>
          </w:tcPr>
          <w:p>
            <w:pPr>
              <w:pStyle w:val="Normal"/>
              <w:spacing w:lineRule="auto" w:line="240" w:before="120" w:after="0"/>
              <w:jc w:val="center"/>
              <w:rPr>
                <w:rFonts w:ascii="Arial" w:hAnsi="Arial" w:cs="Arial"/>
                <w:b/>
                <w:b/>
                <w:sz w:val="20"/>
                <w:lang w:val="bg-BG"/>
              </w:rPr>
            </w:pPr>
            <w:r>
              <w:rPr>
                <w:rFonts w:cs="Arial" w:ascii="Arial" w:hAnsi="Arial"/>
                <w:b/>
                <w:sz w:val="20"/>
                <w:lang w:val="bg-BG"/>
              </w:rPr>
              <w:t>Средно</w:t>
            </w:r>
          </w:p>
          <w:p>
            <w:pPr>
              <w:pStyle w:val="Normal"/>
              <w:spacing w:lineRule="auto" w:line="240" w:before="120" w:after="0"/>
              <w:jc w:val="center"/>
              <w:rPr>
                <w:rFonts w:ascii="Arial" w:hAnsi="Arial" w:cs="Arial"/>
                <w:b/>
                <w:b/>
                <w:sz w:val="18"/>
                <w:lang w:val="bg-BG"/>
              </w:rPr>
            </w:pPr>
            <w:r>
              <w:rPr>
                <w:rFonts w:cs="Arial" w:ascii="Arial" w:hAnsi="Arial"/>
                <w:b/>
                <w:sz w:val="18"/>
                <w:lang w:val="bg-BG"/>
              </w:rPr>
              <w:t>- 6 -</w:t>
            </w:r>
          </w:p>
        </w:tc>
        <w:tc>
          <w:tcPr>
            <w:tcW w:w="1854" w:type="dxa"/>
            <w:tcBorders/>
            <w:shd w:color="auto" w:fill="ED7D31" w:themeFill="accent2" w:val="clear"/>
            <w:tcMar>
              <w:left w:w="103" w:type="dxa"/>
            </w:tcMar>
            <w:vAlign w:val="center"/>
          </w:tcPr>
          <w:p>
            <w:pPr>
              <w:pStyle w:val="Normal"/>
              <w:spacing w:lineRule="auto" w:line="240" w:before="120" w:after="0"/>
              <w:jc w:val="center"/>
              <w:rPr>
                <w:rFonts w:ascii="Arial" w:hAnsi="Arial" w:cs="Arial"/>
                <w:b/>
                <w:b/>
                <w:sz w:val="20"/>
                <w:lang w:val="bg-BG"/>
              </w:rPr>
            </w:pPr>
            <w:r>
              <w:rPr>
                <w:rFonts w:cs="Arial" w:ascii="Arial" w:hAnsi="Arial"/>
                <w:b/>
                <w:sz w:val="20"/>
                <w:lang w:val="bg-BG"/>
              </w:rPr>
              <w:t>Високо</w:t>
            </w:r>
          </w:p>
          <w:p>
            <w:pPr>
              <w:pStyle w:val="Normal"/>
              <w:spacing w:lineRule="auto" w:line="240" w:before="120" w:after="0"/>
              <w:jc w:val="center"/>
              <w:rPr>
                <w:rFonts w:ascii="Arial" w:hAnsi="Arial" w:cs="Arial"/>
                <w:b/>
                <w:b/>
                <w:sz w:val="18"/>
                <w:lang w:val="bg-BG"/>
              </w:rPr>
            </w:pPr>
            <w:r>
              <w:rPr>
                <w:rFonts w:cs="Arial" w:ascii="Arial" w:hAnsi="Arial"/>
                <w:b/>
                <w:sz w:val="18"/>
                <w:lang w:val="bg-BG"/>
              </w:rPr>
              <w:t>- 10 -</w:t>
            </w:r>
          </w:p>
        </w:tc>
      </w:tr>
      <w:tr>
        <w:trPr/>
        <w:tc>
          <w:tcPr>
            <w:tcW w:w="703" w:type="dxa"/>
            <w:vMerge w:val="continue"/>
            <w:tcBorders/>
            <w:shd w:color="auto" w:fill="auto" w:val="clear"/>
            <w:tcMar>
              <w:left w:w="103" w:type="dxa"/>
            </w:tcMar>
            <w:vAlign w:val="center"/>
          </w:tcPr>
          <w:p>
            <w:pPr>
              <w:pStyle w:val="Normal"/>
              <w:spacing w:lineRule="auto" w:line="240" w:before="120" w:after="0"/>
              <w:jc w:val="center"/>
              <w:rPr>
                <w:rFonts w:ascii="Arial" w:hAnsi="Arial" w:eastAsia="SimSun" w:cs="Arial"/>
                <w:b/>
                <w:b/>
                <w:sz w:val="18"/>
                <w:szCs w:val="24"/>
                <w:lang w:val="en-GB" w:eastAsia="hi-IN" w:bidi="hi-IN"/>
              </w:rPr>
            </w:pPr>
            <w:r>
              <w:rPr>
                <w:rFonts w:eastAsia="SimSun" w:cs="Arial" w:ascii="Arial" w:hAnsi="Arial"/>
                <w:b/>
                <w:sz w:val="18"/>
                <w:szCs w:val="24"/>
                <w:lang w:val="en-GB" w:eastAsia="hi-IN" w:bidi="hi-IN"/>
              </w:rPr>
            </w:r>
          </w:p>
        </w:tc>
        <w:tc>
          <w:tcPr>
            <w:tcW w:w="1700" w:type="dxa"/>
            <w:tcBorders/>
            <w:shd w:color="auto" w:fill="auto" w:val="clear"/>
            <w:tcMar>
              <w:left w:w="103" w:type="dxa"/>
            </w:tcMar>
            <w:vAlign w:val="center"/>
          </w:tcPr>
          <w:p>
            <w:pPr>
              <w:pStyle w:val="Normal"/>
              <w:spacing w:lineRule="auto" w:line="240" w:before="120" w:after="0"/>
              <w:jc w:val="center"/>
              <w:rPr>
                <w:rFonts w:ascii="Arial" w:hAnsi="Arial" w:eastAsia="SimSun" w:cs="Arial"/>
                <w:b/>
                <w:b/>
                <w:sz w:val="18"/>
                <w:szCs w:val="24"/>
                <w:lang w:val="en-GB" w:eastAsia="hi-IN" w:bidi="hi-IN"/>
              </w:rPr>
            </w:pPr>
            <w:r>
              <w:rPr>
                <w:rFonts w:eastAsia="SimSun" w:cs="Arial" w:ascii="Arial" w:hAnsi="Arial"/>
                <w:b/>
                <w:sz w:val="18"/>
                <w:szCs w:val="24"/>
                <w:lang w:val="en-GB" w:eastAsia="hi-IN" w:bidi="hi-IN"/>
              </w:rPr>
            </w:r>
          </w:p>
          <w:p>
            <w:pPr>
              <w:pStyle w:val="Normal"/>
              <w:spacing w:lineRule="auto" w:line="240" w:before="120" w:after="0"/>
              <w:jc w:val="center"/>
              <w:rPr>
                <w:rFonts w:ascii="Arial" w:hAnsi="Arial" w:cs="Arial"/>
                <w:b/>
                <w:b/>
                <w:sz w:val="18"/>
                <w:lang w:val="bg-BG"/>
              </w:rPr>
            </w:pPr>
            <w:r>
              <w:rPr>
                <w:rFonts w:cs="Arial" w:ascii="Arial" w:hAnsi="Arial"/>
                <w:b/>
                <w:sz w:val="18"/>
                <w:lang w:val="en-GB"/>
              </w:rPr>
              <w:t>Средна</w:t>
            </w:r>
          </w:p>
          <w:p>
            <w:pPr>
              <w:pStyle w:val="Normal"/>
              <w:spacing w:lineRule="auto" w:line="240" w:before="120" w:after="0"/>
              <w:jc w:val="center"/>
              <w:rPr>
                <w:rFonts w:ascii="Arial" w:hAnsi="Arial" w:eastAsia="SimSun" w:cs="Arial"/>
                <w:b/>
                <w:b/>
                <w:sz w:val="18"/>
                <w:szCs w:val="24"/>
                <w:lang w:val="en-GB" w:eastAsia="hi-IN" w:bidi="hi-IN"/>
              </w:rPr>
            </w:pPr>
            <w:r>
              <w:rPr>
                <w:rFonts w:eastAsia="SimSun" w:cs="Arial" w:ascii="Arial" w:hAnsi="Arial"/>
                <w:b/>
                <w:sz w:val="18"/>
                <w:szCs w:val="24"/>
                <w:lang w:val="en-GB" w:eastAsia="hi-IN" w:bidi="hi-IN"/>
              </w:rPr>
            </w:r>
          </w:p>
        </w:tc>
        <w:tc>
          <w:tcPr>
            <w:tcW w:w="1701" w:type="dxa"/>
            <w:tcBorders/>
            <w:shd w:color="auto" w:fill="92D050" w:val="clear"/>
            <w:tcMar>
              <w:left w:w="103" w:type="dxa"/>
            </w:tcMar>
            <w:vAlign w:val="center"/>
          </w:tcPr>
          <w:p>
            <w:pPr>
              <w:pStyle w:val="Normal"/>
              <w:spacing w:lineRule="auto" w:line="240" w:before="120" w:after="0"/>
              <w:jc w:val="center"/>
              <w:rPr>
                <w:rFonts w:ascii="Arial" w:hAnsi="Arial" w:cs="Arial"/>
                <w:b/>
                <w:b/>
                <w:sz w:val="20"/>
                <w:lang w:val="bg-BG"/>
              </w:rPr>
            </w:pPr>
            <w:r>
              <w:rPr>
                <w:rFonts w:cs="Arial" w:ascii="Arial" w:hAnsi="Arial"/>
                <w:b/>
                <w:sz w:val="20"/>
                <w:lang w:val="bg-BG"/>
              </w:rPr>
              <w:t>Ниско</w:t>
            </w:r>
          </w:p>
          <w:p>
            <w:pPr>
              <w:pStyle w:val="Normal"/>
              <w:spacing w:lineRule="auto" w:line="240" w:before="120" w:after="0"/>
              <w:jc w:val="center"/>
              <w:rPr>
                <w:rFonts w:ascii="Arial" w:hAnsi="Arial" w:cs="Arial"/>
                <w:b/>
                <w:b/>
                <w:sz w:val="18"/>
                <w:lang w:val="bg-BG"/>
              </w:rPr>
            </w:pPr>
            <w:r>
              <w:rPr>
                <w:rFonts w:cs="Arial" w:ascii="Arial" w:hAnsi="Arial"/>
                <w:b/>
                <w:sz w:val="18"/>
                <w:lang w:val="bg-BG"/>
              </w:rPr>
              <w:t>- 2 -</w:t>
            </w:r>
          </w:p>
        </w:tc>
        <w:tc>
          <w:tcPr>
            <w:tcW w:w="1701" w:type="dxa"/>
            <w:tcBorders/>
            <w:shd w:color="auto" w:fill="FFFF00" w:val="clear"/>
            <w:tcMar>
              <w:left w:w="103" w:type="dxa"/>
            </w:tcMar>
            <w:vAlign w:val="center"/>
          </w:tcPr>
          <w:p>
            <w:pPr>
              <w:pStyle w:val="Normal"/>
              <w:spacing w:lineRule="auto" w:line="240" w:before="120" w:after="0"/>
              <w:jc w:val="center"/>
              <w:rPr>
                <w:rFonts w:ascii="Arial" w:hAnsi="Arial" w:cs="Arial"/>
                <w:b/>
                <w:b/>
                <w:sz w:val="20"/>
                <w:lang w:val="bg-BG"/>
              </w:rPr>
            </w:pPr>
            <w:r>
              <w:rPr>
                <w:rFonts w:cs="Arial" w:ascii="Arial" w:hAnsi="Arial"/>
                <w:b/>
                <w:sz w:val="20"/>
                <w:lang w:val="bg-BG"/>
              </w:rPr>
              <w:t>Средно</w:t>
            </w:r>
          </w:p>
          <w:p>
            <w:pPr>
              <w:pStyle w:val="Normal"/>
              <w:spacing w:lineRule="auto" w:line="240" w:before="120" w:after="0"/>
              <w:jc w:val="center"/>
              <w:rPr>
                <w:rFonts w:ascii="Arial" w:hAnsi="Arial" w:cs="Arial"/>
                <w:b/>
                <w:b/>
                <w:sz w:val="18"/>
                <w:lang w:val="bg-BG"/>
              </w:rPr>
            </w:pPr>
            <w:r>
              <w:rPr>
                <w:rFonts w:cs="Arial" w:ascii="Arial" w:hAnsi="Arial"/>
                <w:b/>
                <w:sz w:val="18"/>
                <w:lang w:val="bg-BG"/>
              </w:rPr>
              <w:t>- 5 -</w:t>
            </w:r>
          </w:p>
        </w:tc>
        <w:tc>
          <w:tcPr>
            <w:tcW w:w="1701" w:type="dxa"/>
            <w:tcBorders/>
            <w:shd w:color="auto" w:fill="ED7D31" w:themeFill="accent2" w:val="clear"/>
            <w:tcMar>
              <w:left w:w="103" w:type="dxa"/>
            </w:tcMar>
            <w:vAlign w:val="center"/>
          </w:tcPr>
          <w:p>
            <w:pPr>
              <w:pStyle w:val="Normal"/>
              <w:spacing w:lineRule="auto" w:line="240" w:before="120" w:after="0"/>
              <w:jc w:val="center"/>
              <w:rPr>
                <w:rFonts w:ascii="Arial" w:hAnsi="Arial" w:cs="Arial"/>
                <w:b/>
                <w:b/>
                <w:sz w:val="20"/>
                <w:lang w:val="bg-BG"/>
              </w:rPr>
            </w:pPr>
            <w:r>
              <w:rPr>
                <w:rFonts w:cs="Arial" w:ascii="Arial" w:hAnsi="Arial"/>
                <w:b/>
                <w:sz w:val="20"/>
                <w:lang w:val="bg-BG"/>
              </w:rPr>
              <w:t>Високо</w:t>
            </w:r>
          </w:p>
          <w:p>
            <w:pPr>
              <w:pStyle w:val="Normal"/>
              <w:spacing w:lineRule="auto" w:line="240" w:before="120" w:after="0"/>
              <w:jc w:val="center"/>
              <w:rPr>
                <w:rFonts w:ascii="Arial" w:hAnsi="Arial" w:cs="Arial"/>
                <w:b/>
                <w:b/>
                <w:sz w:val="18"/>
                <w:lang w:val="bg-BG"/>
              </w:rPr>
            </w:pPr>
            <w:r>
              <w:rPr>
                <w:rFonts w:cs="Arial" w:ascii="Arial" w:hAnsi="Arial"/>
                <w:b/>
                <w:sz w:val="18"/>
                <w:lang w:val="bg-BG"/>
              </w:rPr>
              <w:t>- 8 -</w:t>
            </w:r>
          </w:p>
        </w:tc>
        <w:tc>
          <w:tcPr>
            <w:tcW w:w="1854" w:type="dxa"/>
            <w:tcBorders/>
            <w:shd w:color="auto" w:fill="C00000" w:val="clear"/>
            <w:tcMar>
              <w:left w:w="103" w:type="dxa"/>
            </w:tcMar>
            <w:vAlign w:val="center"/>
          </w:tcPr>
          <w:p>
            <w:pPr>
              <w:pStyle w:val="Normal"/>
              <w:spacing w:lineRule="auto" w:line="240" w:before="120" w:after="0"/>
              <w:jc w:val="center"/>
              <w:rPr>
                <w:rFonts w:ascii="Arial" w:hAnsi="Arial" w:cs="Arial"/>
                <w:b/>
                <w:b/>
                <w:color w:val="000000" w:themeColor="text1"/>
                <w:sz w:val="20"/>
                <w:lang w:val="bg-BG"/>
              </w:rPr>
            </w:pPr>
            <w:r>
              <w:rPr>
                <w:rFonts w:cs="Arial" w:ascii="Arial" w:hAnsi="Arial"/>
                <w:b/>
                <w:color w:val="000000" w:themeColor="text1"/>
                <w:sz w:val="20"/>
                <w:lang w:val="bg-BG"/>
              </w:rPr>
              <w:t>Изключително високо</w:t>
            </w:r>
          </w:p>
          <w:p>
            <w:pPr>
              <w:pStyle w:val="Normal"/>
              <w:spacing w:lineRule="auto" w:line="240" w:before="120" w:after="0"/>
              <w:jc w:val="center"/>
              <w:rPr>
                <w:rFonts w:ascii="Arial" w:hAnsi="Arial" w:cs="Arial"/>
                <w:b/>
                <w:b/>
                <w:color w:val="000000" w:themeColor="text1"/>
                <w:sz w:val="18"/>
                <w:lang w:val="bg-BG"/>
              </w:rPr>
            </w:pPr>
            <w:r>
              <w:rPr>
                <w:rFonts w:cs="Arial" w:ascii="Arial" w:hAnsi="Arial"/>
                <w:b/>
                <w:color w:val="000000" w:themeColor="text1"/>
                <w:sz w:val="18"/>
                <w:lang w:val="bg-BG"/>
              </w:rPr>
              <w:t xml:space="preserve"> </w:t>
            </w:r>
            <w:r>
              <w:rPr>
                <w:rFonts w:cs="Arial" w:ascii="Arial" w:hAnsi="Arial"/>
                <w:b/>
                <w:color w:val="000000" w:themeColor="text1"/>
                <w:sz w:val="18"/>
                <w:lang w:val="bg-BG"/>
              </w:rPr>
              <w:t>- 11 -</w:t>
            </w:r>
          </w:p>
        </w:tc>
      </w:tr>
      <w:tr>
        <w:trPr/>
        <w:tc>
          <w:tcPr>
            <w:tcW w:w="703" w:type="dxa"/>
            <w:vMerge w:val="continue"/>
            <w:tcBorders/>
            <w:shd w:color="auto" w:fill="auto" w:val="clear"/>
            <w:tcMar>
              <w:left w:w="103" w:type="dxa"/>
            </w:tcMar>
            <w:vAlign w:val="center"/>
          </w:tcPr>
          <w:p>
            <w:pPr>
              <w:pStyle w:val="Normal"/>
              <w:spacing w:lineRule="auto" w:line="240" w:before="120" w:after="0"/>
              <w:jc w:val="center"/>
              <w:rPr>
                <w:rFonts w:ascii="Arial" w:hAnsi="Arial" w:eastAsia="SimSun" w:cs="Arial"/>
                <w:b/>
                <w:b/>
                <w:sz w:val="18"/>
                <w:szCs w:val="24"/>
                <w:lang w:val="en-GB" w:eastAsia="hi-IN" w:bidi="hi-IN"/>
              </w:rPr>
            </w:pPr>
            <w:r>
              <w:rPr>
                <w:rFonts w:eastAsia="SimSun" w:cs="Arial" w:ascii="Arial" w:hAnsi="Arial"/>
                <w:b/>
                <w:sz w:val="18"/>
                <w:szCs w:val="24"/>
                <w:lang w:val="en-GB" w:eastAsia="hi-IN" w:bidi="hi-IN"/>
              </w:rPr>
            </w:r>
          </w:p>
        </w:tc>
        <w:tc>
          <w:tcPr>
            <w:tcW w:w="1700" w:type="dxa"/>
            <w:tcBorders/>
            <w:shd w:color="auto" w:fill="auto" w:val="clear"/>
            <w:tcMar>
              <w:left w:w="103" w:type="dxa"/>
            </w:tcMar>
            <w:vAlign w:val="center"/>
          </w:tcPr>
          <w:p>
            <w:pPr>
              <w:pStyle w:val="Normal"/>
              <w:spacing w:lineRule="auto" w:line="240" w:before="120" w:after="0"/>
              <w:jc w:val="center"/>
              <w:rPr>
                <w:rFonts w:ascii="Arial" w:hAnsi="Arial" w:eastAsia="SimSun" w:cs="Arial"/>
                <w:b/>
                <w:b/>
                <w:sz w:val="18"/>
                <w:szCs w:val="24"/>
                <w:lang w:val="en-GB" w:eastAsia="hi-IN" w:bidi="hi-IN"/>
              </w:rPr>
            </w:pPr>
            <w:r>
              <w:rPr>
                <w:rFonts w:eastAsia="SimSun" w:cs="Arial" w:ascii="Arial" w:hAnsi="Arial"/>
                <w:b/>
                <w:sz w:val="18"/>
                <w:szCs w:val="24"/>
                <w:lang w:val="en-GB" w:eastAsia="hi-IN" w:bidi="hi-IN"/>
              </w:rPr>
            </w:r>
          </w:p>
          <w:p>
            <w:pPr>
              <w:pStyle w:val="Normal"/>
              <w:spacing w:lineRule="auto" w:line="240" w:before="120" w:after="0"/>
              <w:jc w:val="center"/>
              <w:rPr>
                <w:rFonts w:ascii="Arial" w:hAnsi="Arial" w:cs="Arial"/>
                <w:b/>
                <w:b/>
                <w:sz w:val="18"/>
                <w:lang w:val="bg-BG"/>
              </w:rPr>
            </w:pPr>
            <w:r>
              <w:rPr>
                <w:rFonts w:cs="Arial" w:ascii="Arial" w:hAnsi="Arial"/>
                <w:b/>
                <w:sz w:val="18"/>
                <w:lang w:val="en-GB"/>
              </w:rPr>
              <w:t>Висока</w:t>
            </w:r>
          </w:p>
          <w:p>
            <w:pPr>
              <w:pStyle w:val="Normal"/>
              <w:spacing w:lineRule="auto" w:line="240" w:before="120" w:after="0"/>
              <w:jc w:val="center"/>
              <w:rPr>
                <w:rFonts w:ascii="Arial" w:hAnsi="Arial" w:eastAsia="SimSun" w:cs="Arial"/>
                <w:b/>
                <w:b/>
                <w:sz w:val="18"/>
                <w:szCs w:val="24"/>
                <w:lang w:val="en-GB" w:eastAsia="hi-IN" w:bidi="hi-IN"/>
              </w:rPr>
            </w:pPr>
            <w:r>
              <w:rPr>
                <w:rFonts w:eastAsia="SimSun" w:cs="Arial" w:ascii="Arial" w:hAnsi="Arial"/>
                <w:b/>
                <w:sz w:val="18"/>
                <w:szCs w:val="24"/>
                <w:lang w:val="en-GB" w:eastAsia="hi-IN" w:bidi="hi-IN"/>
              </w:rPr>
            </w:r>
          </w:p>
        </w:tc>
        <w:tc>
          <w:tcPr>
            <w:tcW w:w="1701" w:type="dxa"/>
            <w:tcBorders/>
            <w:shd w:color="auto" w:fill="FFFF00" w:val="clear"/>
            <w:tcMar>
              <w:left w:w="103" w:type="dxa"/>
            </w:tcMar>
            <w:vAlign w:val="center"/>
          </w:tcPr>
          <w:p>
            <w:pPr>
              <w:pStyle w:val="Normal"/>
              <w:spacing w:lineRule="auto" w:line="240" w:before="120" w:after="0"/>
              <w:jc w:val="center"/>
              <w:rPr>
                <w:rFonts w:ascii="Arial" w:hAnsi="Arial" w:cs="Arial"/>
                <w:b/>
                <w:b/>
                <w:sz w:val="20"/>
                <w:lang w:val="bg-BG"/>
              </w:rPr>
            </w:pPr>
            <w:r>
              <w:rPr>
                <w:rFonts w:cs="Arial" w:ascii="Arial" w:hAnsi="Arial"/>
                <w:b/>
                <w:sz w:val="20"/>
                <w:lang w:val="bg-BG"/>
              </w:rPr>
              <w:t>Средно</w:t>
            </w:r>
          </w:p>
          <w:p>
            <w:pPr>
              <w:pStyle w:val="Normal"/>
              <w:spacing w:lineRule="auto" w:line="240" w:before="120" w:after="0"/>
              <w:jc w:val="center"/>
              <w:rPr>
                <w:rFonts w:ascii="Arial" w:hAnsi="Arial" w:cs="Arial"/>
                <w:b/>
                <w:b/>
                <w:sz w:val="18"/>
                <w:lang w:val="bg-BG"/>
              </w:rPr>
            </w:pPr>
            <w:r>
              <w:rPr>
                <w:rFonts w:cs="Arial" w:ascii="Arial" w:hAnsi="Arial"/>
                <w:b/>
                <w:sz w:val="18"/>
                <w:lang w:val="bg-BG"/>
              </w:rPr>
              <w:t>- 3 -</w:t>
            </w:r>
          </w:p>
        </w:tc>
        <w:tc>
          <w:tcPr>
            <w:tcW w:w="1701" w:type="dxa"/>
            <w:tcBorders/>
            <w:shd w:color="auto" w:fill="ED7D31" w:themeFill="accent2" w:val="clear"/>
            <w:tcMar>
              <w:left w:w="103" w:type="dxa"/>
            </w:tcMar>
            <w:vAlign w:val="center"/>
          </w:tcPr>
          <w:p>
            <w:pPr>
              <w:pStyle w:val="Normal"/>
              <w:spacing w:lineRule="auto" w:line="240" w:before="120" w:after="0"/>
              <w:jc w:val="center"/>
              <w:rPr>
                <w:rFonts w:ascii="Arial" w:hAnsi="Arial" w:cs="Arial"/>
                <w:b/>
                <w:b/>
                <w:sz w:val="20"/>
                <w:lang w:val="bg-BG"/>
              </w:rPr>
            </w:pPr>
            <w:r>
              <w:rPr>
                <w:rFonts w:cs="Arial" w:ascii="Arial" w:hAnsi="Arial"/>
                <w:b/>
                <w:sz w:val="20"/>
                <w:lang w:val="bg-BG"/>
              </w:rPr>
              <w:t>Високо</w:t>
            </w:r>
          </w:p>
          <w:p>
            <w:pPr>
              <w:pStyle w:val="Normal"/>
              <w:spacing w:lineRule="auto" w:line="240" w:before="120" w:after="0"/>
              <w:jc w:val="center"/>
              <w:rPr>
                <w:rFonts w:ascii="Arial" w:hAnsi="Arial" w:cs="Arial"/>
                <w:b/>
                <w:b/>
                <w:sz w:val="18"/>
                <w:lang w:val="bg-BG"/>
              </w:rPr>
            </w:pPr>
            <w:r>
              <w:rPr>
                <w:rFonts w:cs="Arial" w:ascii="Arial" w:hAnsi="Arial"/>
                <w:b/>
                <w:sz w:val="18"/>
                <w:lang w:val="bg-BG"/>
              </w:rPr>
              <w:t>- 7 -</w:t>
            </w:r>
          </w:p>
        </w:tc>
        <w:tc>
          <w:tcPr>
            <w:tcW w:w="1701" w:type="dxa"/>
            <w:tcBorders/>
            <w:shd w:color="auto" w:fill="ED7D31" w:themeFill="accent2" w:val="clear"/>
            <w:tcMar>
              <w:left w:w="103" w:type="dxa"/>
            </w:tcMar>
            <w:vAlign w:val="center"/>
          </w:tcPr>
          <w:p>
            <w:pPr>
              <w:pStyle w:val="Normal"/>
              <w:spacing w:lineRule="auto" w:line="240" w:before="120" w:after="0"/>
              <w:jc w:val="center"/>
              <w:rPr>
                <w:rFonts w:ascii="Arial" w:hAnsi="Arial" w:cs="Arial"/>
                <w:b/>
                <w:b/>
                <w:sz w:val="20"/>
                <w:lang w:val="bg-BG"/>
              </w:rPr>
            </w:pPr>
            <w:r>
              <w:rPr>
                <w:rFonts w:cs="Arial" w:ascii="Arial" w:hAnsi="Arial"/>
                <w:b/>
                <w:sz w:val="20"/>
                <w:lang w:val="bg-BG"/>
              </w:rPr>
              <w:t>Високо</w:t>
            </w:r>
          </w:p>
          <w:p>
            <w:pPr>
              <w:pStyle w:val="Normal"/>
              <w:spacing w:lineRule="auto" w:line="240" w:before="120" w:after="0"/>
              <w:jc w:val="center"/>
              <w:rPr>
                <w:rFonts w:ascii="Arial" w:hAnsi="Arial" w:cs="Arial"/>
                <w:b/>
                <w:b/>
                <w:sz w:val="18"/>
                <w:lang w:val="bg-BG"/>
              </w:rPr>
            </w:pPr>
            <w:r>
              <w:rPr>
                <w:rFonts w:cs="Arial" w:ascii="Arial" w:hAnsi="Arial"/>
                <w:b/>
                <w:sz w:val="18"/>
                <w:lang w:val="bg-BG"/>
              </w:rPr>
              <w:t>- 9 -</w:t>
            </w:r>
          </w:p>
        </w:tc>
        <w:tc>
          <w:tcPr>
            <w:tcW w:w="1854" w:type="dxa"/>
            <w:tcBorders/>
            <w:shd w:color="auto" w:fill="C00000" w:val="clear"/>
            <w:tcMar>
              <w:left w:w="103" w:type="dxa"/>
            </w:tcMar>
            <w:vAlign w:val="center"/>
          </w:tcPr>
          <w:p>
            <w:pPr>
              <w:pStyle w:val="Normal"/>
              <w:spacing w:lineRule="auto" w:line="240" w:before="120" w:after="0"/>
              <w:jc w:val="center"/>
              <w:rPr>
                <w:rFonts w:ascii="Arial" w:hAnsi="Arial" w:cs="Arial"/>
                <w:b/>
                <w:b/>
                <w:color w:val="000000" w:themeColor="text1"/>
                <w:sz w:val="20"/>
                <w:lang w:val="bg-BG"/>
              </w:rPr>
            </w:pPr>
            <w:r>
              <w:rPr>
                <w:rFonts w:cs="Arial" w:ascii="Arial" w:hAnsi="Arial"/>
                <w:b/>
                <w:color w:val="000000" w:themeColor="text1"/>
                <w:sz w:val="20"/>
                <w:lang w:val="bg-BG"/>
              </w:rPr>
              <w:t>Изключително високо</w:t>
            </w:r>
          </w:p>
          <w:p>
            <w:pPr>
              <w:pStyle w:val="Normal"/>
              <w:spacing w:lineRule="auto" w:line="240" w:before="120" w:after="0"/>
              <w:jc w:val="center"/>
              <w:rPr>
                <w:rFonts w:ascii="Arial" w:hAnsi="Arial" w:cs="Arial"/>
                <w:b/>
                <w:b/>
                <w:color w:val="000000" w:themeColor="text1"/>
                <w:sz w:val="18"/>
                <w:lang w:val="bg-BG"/>
              </w:rPr>
            </w:pPr>
            <w:r>
              <w:rPr>
                <w:rFonts w:cs="Arial" w:ascii="Arial" w:hAnsi="Arial"/>
                <w:b/>
                <w:color w:val="000000" w:themeColor="text1"/>
                <w:sz w:val="18"/>
                <w:lang w:val="bg-BG"/>
              </w:rPr>
              <w:t xml:space="preserve"> </w:t>
            </w:r>
            <w:r>
              <w:rPr>
                <w:rFonts w:cs="Arial" w:ascii="Arial" w:hAnsi="Arial"/>
                <w:b/>
                <w:color w:val="000000" w:themeColor="text1"/>
                <w:sz w:val="18"/>
                <w:lang w:val="bg-BG"/>
              </w:rPr>
              <w:t>- 12 -</w:t>
            </w:r>
          </w:p>
        </w:tc>
      </w:tr>
    </w:tbl>
    <w:p>
      <w:pPr>
        <w:pStyle w:val="Normal"/>
        <w:spacing w:before="240" w:after="120"/>
        <w:rPr/>
      </w:pPr>
      <w:r>
        <w:rPr>
          <w:rFonts w:cs="Arial" w:ascii="Arial" w:hAnsi="Arial"/>
          <w:sz w:val="22"/>
        </w:rPr>
        <w:t xml:space="preserve">При определянето на степента на риска </w:t>
      </w:r>
      <w:r>
        <w:rPr>
          <w:rFonts w:cs="Arial" w:ascii="Arial" w:hAnsi="Arial"/>
          <w:sz w:val="22"/>
          <w:lang w:val="en-US"/>
        </w:rPr>
        <w:t xml:space="preserve">ПАТО ЕООД </w:t>
      </w:r>
      <w:r>
        <w:rPr>
          <w:rFonts w:cs="Arial" w:ascii="Arial" w:hAnsi="Arial"/>
          <w:sz w:val="22"/>
        </w:rPr>
        <w:t xml:space="preserve">се ръководи от критериите за вероятен „висок риск“ на </w:t>
      </w:r>
      <w:hyperlink r:id="rId13">
        <w:r>
          <w:rPr>
            <w:rStyle w:val="Style14"/>
            <w:rFonts w:cs="Arial" w:ascii="Arial" w:hAnsi="Arial"/>
            <w:sz w:val="22"/>
          </w:rPr>
          <w:t>член 35, параграф 3 от ОРЗД</w:t>
        </w:r>
      </w:hyperlink>
      <w:r>
        <w:rPr>
          <w:rFonts w:cs="Arial" w:ascii="Arial" w:hAnsi="Arial"/>
          <w:sz w:val="22"/>
        </w:rPr>
        <w:t xml:space="preserve"> и </w:t>
      </w:r>
      <w:hyperlink r:id="rId14">
        <w:r>
          <w:rPr>
            <w:rStyle w:val="Style14"/>
            <w:rFonts w:cs="Arial" w:ascii="Arial" w:hAnsi="Arial"/>
            <w:sz w:val="22"/>
          </w:rPr>
          <w:t>Насоките</w:t>
        </w:r>
        <w:r>
          <w:rPr>
            <w:rStyle w:val="Style14"/>
            <w:rStyle w:val="Style16"/>
            <w:rFonts w:cs="Arial" w:ascii="Arial" w:hAnsi="Arial"/>
            <w:sz w:val="22"/>
          </w:rPr>
          <w:footnoteReference w:id="6"/>
        </w:r>
      </w:hyperlink>
      <w:r>
        <w:rPr>
          <w:rFonts w:cs="Arial" w:ascii="Arial" w:hAnsi="Arial"/>
          <w:sz w:val="22"/>
        </w:rPr>
        <w:t>. Наред с преките рискове за правата и свободите на физическите лица, произтичащи от обработката на лични данни, организацията отчита също и рисковете за бизнеса (репутационни, правни и т.н.), както и целите и задълженията на самата организация (регулаторни и договорни).</w:t>
      </w:r>
    </w:p>
    <w:p>
      <w:pPr>
        <w:pStyle w:val="Normal"/>
        <w:spacing w:before="0" w:after="120"/>
        <w:rPr/>
      </w:pPr>
      <w:r>
        <w:rPr>
          <w:rFonts w:cs="Arial" w:ascii="Arial" w:hAnsi="Arial"/>
          <w:sz w:val="22"/>
        </w:rPr>
        <w:t xml:space="preserve">В зависимост от определеното ниво на въздействие, администраторът извършва </w:t>
      </w:r>
    </w:p>
    <w:p>
      <w:pPr>
        <w:pStyle w:val="Normal"/>
        <w:spacing w:before="0" w:after="120"/>
        <w:rPr/>
      </w:pPr>
      <w:r>
        <w:rPr>
          <w:rFonts w:cs="Arial" w:ascii="Arial" w:hAnsi="Arial"/>
          <w:sz w:val="22"/>
        </w:rPr>
        <w:t>1</w:t>
      </w:r>
      <w:r>
        <w:rPr>
          <w:rFonts w:cs="Arial" w:ascii="Arial" w:hAnsi="Arial"/>
          <w:sz w:val="22"/>
          <w:lang w:val="en-US"/>
        </w:rPr>
        <w:t xml:space="preserve">) </w:t>
      </w:r>
      <w:r>
        <w:rPr>
          <w:rFonts w:cs="Arial" w:ascii="Arial" w:hAnsi="Arial"/>
          <w:sz w:val="22"/>
        </w:rPr>
        <w:t>приоритизация на идентифицираните рискове,</w:t>
      </w:r>
    </w:p>
    <w:p>
      <w:pPr>
        <w:pStyle w:val="Normal"/>
        <w:spacing w:before="0" w:after="120"/>
        <w:rPr/>
      </w:pPr>
      <w:r>
        <w:rPr>
          <w:rFonts w:cs="Arial" w:ascii="Arial" w:hAnsi="Arial"/>
          <w:sz w:val="22"/>
        </w:rPr>
        <w:t xml:space="preserve"> </w:t>
      </w:r>
      <w:r>
        <w:rPr>
          <w:rFonts w:cs="Arial" w:ascii="Arial" w:hAnsi="Arial"/>
          <w:sz w:val="22"/>
          <w:lang w:val="en-US"/>
        </w:rPr>
        <w:t xml:space="preserve">2) </w:t>
      </w:r>
      <w:r>
        <w:rPr>
          <w:rFonts w:cs="Arial" w:ascii="Arial" w:hAnsi="Arial"/>
          <w:sz w:val="22"/>
        </w:rPr>
        <w:t xml:space="preserve">определя адекватно ниво на защита, включващо техническите и организационни мерки, които трябва да предприеме за тяхното ограничаване. </w:t>
      </w:r>
    </w:p>
    <w:p>
      <w:pPr>
        <w:pStyle w:val="Normal"/>
        <w:spacing w:before="0" w:after="120"/>
        <w:rPr>
          <w:rFonts w:ascii="Arial" w:hAnsi="Arial" w:cs="Arial"/>
          <w:sz w:val="22"/>
        </w:rPr>
      </w:pPr>
      <w:r>
        <w:rPr>
          <w:rFonts w:cs="Arial" w:ascii="Arial" w:hAnsi="Arial"/>
          <w:sz w:val="22"/>
        </w:rPr>
        <w:t>Редът на приоритет на идентифицираните рискове е, както следва:</w:t>
      </w:r>
    </w:p>
    <w:p>
      <w:pPr>
        <w:pStyle w:val="ListParagraph"/>
        <w:numPr>
          <w:ilvl w:val="0"/>
          <w:numId w:val="5"/>
        </w:numPr>
        <w:spacing w:lineRule="auto" w:line="240" w:before="0" w:after="120"/>
        <w:ind w:left="714" w:hanging="357"/>
        <w:rPr>
          <w:rFonts w:ascii="Arial" w:hAnsi="Arial" w:cs="Arial"/>
          <w:lang w:val="bg-BG"/>
        </w:rPr>
      </w:pPr>
      <w:r>
        <w:rPr>
          <w:rFonts w:cs="Arial" w:ascii="Arial" w:hAnsi="Arial"/>
          <w:lang w:val="bg-BG"/>
        </w:rPr>
        <w:t xml:space="preserve">Рисковете с висока тежест на последиците и вероятност за настъпване </w:t>
      </w:r>
      <w:r>
        <w:rPr>
          <w:rFonts w:cs="Arial" w:ascii="Arial" w:hAnsi="Arial"/>
          <w:lang w:val="en-US"/>
        </w:rPr>
        <w:t>(8, 9</w:t>
      </w:r>
      <w:r>
        <w:rPr>
          <w:rFonts w:cs="Arial" w:ascii="Arial" w:hAnsi="Arial"/>
          <w:lang w:val="bg-BG"/>
        </w:rPr>
        <w:t>,</w:t>
      </w:r>
      <w:r>
        <w:rPr>
          <w:rFonts w:cs="Arial" w:ascii="Arial" w:hAnsi="Arial"/>
          <w:lang w:val="en-US"/>
        </w:rPr>
        <w:t xml:space="preserve"> 11</w:t>
      </w:r>
      <w:r>
        <w:rPr>
          <w:rFonts w:cs="Arial" w:ascii="Arial" w:hAnsi="Arial"/>
          <w:lang w:val="bg-BG"/>
        </w:rPr>
        <w:t xml:space="preserve"> и 12</w:t>
      </w:r>
      <w:r>
        <w:rPr>
          <w:rFonts w:cs="Arial" w:ascii="Arial" w:hAnsi="Arial"/>
          <w:lang w:val="en-US"/>
        </w:rPr>
        <w:t xml:space="preserve">) </w:t>
      </w:r>
      <w:r>
        <w:rPr>
          <w:rFonts w:cs="Arial" w:ascii="Arial" w:hAnsi="Arial"/>
          <w:lang w:val="bg-BG"/>
        </w:rPr>
        <w:t>трябва да бъдат напълно избегнати или ограничени чрез прилагане на мерки за сигурност, които намаляват както тежестта им, така и тяхната вероятност. В плана за управление на рисковете следва да се предвидят както мерки за предотвратяване (действия, предприети преди вредно събитие), така и за защита (действия, предприети по време на вредно събитие) и възстановяване (действия, предприети след вредно събитие).</w:t>
      </w:r>
    </w:p>
    <w:p>
      <w:pPr>
        <w:pStyle w:val="ListParagraph"/>
        <w:numPr>
          <w:ilvl w:val="0"/>
          <w:numId w:val="5"/>
        </w:numPr>
        <w:spacing w:lineRule="auto" w:line="240" w:before="0" w:after="120"/>
        <w:ind w:left="714" w:hanging="357"/>
        <w:rPr>
          <w:rFonts w:ascii="Arial" w:hAnsi="Arial" w:cs="Arial"/>
          <w:lang w:val="bg-BG"/>
        </w:rPr>
      </w:pPr>
      <w:r>
        <w:rPr>
          <w:rFonts w:cs="Arial" w:ascii="Arial" w:hAnsi="Arial"/>
          <w:lang w:val="bg-BG"/>
        </w:rPr>
        <w:t xml:space="preserve">Рисковете с висока тежест, но с малка вероятност </w:t>
      </w:r>
      <w:r>
        <w:rPr>
          <w:rFonts w:cs="Arial" w:ascii="Arial" w:hAnsi="Arial"/>
          <w:lang w:val="en-US"/>
        </w:rPr>
        <w:t xml:space="preserve">(6, 10) </w:t>
      </w:r>
      <w:r>
        <w:rPr>
          <w:rFonts w:cs="Arial" w:ascii="Arial" w:hAnsi="Arial"/>
          <w:lang w:val="bg-BG"/>
        </w:rPr>
        <w:t xml:space="preserve">трябва да се избягват или ограничават чрез прилагане на мерки за сигурност, които намаляват тежестта на последиците или вероятността за настъпването им. Приоритет следва да имат преди всичко на мерките за предотвратяване </w:t>
      </w:r>
      <w:r>
        <w:rPr>
          <w:rFonts w:cs="Arial" w:ascii="Arial" w:hAnsi="Arial"/>
          <w:lang w:val="en-US"/>
        </w:rPr>
        <w:t>(</w:t>
      </w:r>
      <w:r>
        <w:rPr>
          <w:rFonts w:cs="Arial" w:ascii="Arial" w:hAnsi="Arial"/>
          <w:lang w:val="bg-BG"/>
        </w:rPr>
        <w:t>превантивните мерки</w:t>
      </w:r>
      <w:r>
        <w:rPr>
          <w:rFonts w:cs="Arial" w:ascii="Arial" w:hAnsi="Arial"/>
          <w:lang w:val="en-US"/>
        </w:rPr>
        <w:t>)</w:t>
      </w:r>
      <w:r>
        <w:rPr>
          <w:rFonts w:cs="Arial" w:ascii="Arial" w:hAnsi="Arial"/>
          <w:lang w:val="bg-BG"/>
        </w:rPr>
        <w:t>.</w:t>
      </w:r>
    </w:p>
    <w:p>
      <w:pPr>
        <w:pStyle w:val="ListParagraph"/>
        <w:numPr>
          <w:ilvl w:val="0"/>
          <w:numId w:val="5"/>
        </w:numPr>
        <w:spacing w:lineRule="auto" w:line="240" w:before="0" w:after="120"/>
        <w:ind w:left="714" w:hanging="357"/>
        <w:rPr>
          <w:rFonts w:ascii="Arial" w:hAnsi="Arial" w:cs="Arial"/>
          <w:lang w:val="bg-BG"/>
        </w:rPr>
      </w:pPr>
      <w:r>
        <w:rPr>
          <w:rFonts w:cs="Arial" w:ascii="Arial" w:hAnsi="Arial"/>
          <w:lang w:val="bg-BG"/>
        </w:rPr>
        <w:t>Рисковете с малка тежест, но с голяма вероятност за настъпване</w:t>
      </w:r>
      <w:r>
        <w:rPr>
          <w:rFonts w:cs="Arial" w:ascii="Arial" w:hAnsi="Arial"/>
          <w:lang w:val="en-US"/>
        </w:rPr>
        <w:t xml:space="preserve"> (3, 7)</w:t>
      </w:r>
      <w:r>
        <w:rPr>
          <w:rFonts w:cs="Arial" w:ascii="Arial" w:hAnsi="Arial"/>
          <w:lang w:val="bg-BG"/>
        </w:rPr>
        <w:t>, трябва да бъдат ограничавани чрез прилагане на мерки за сигурност, които намаляват тяхната вероятност. Трябва да се наблегне обаче на мерките за възстановяване.</w:t>
      </w:r>
    </w:p>
    <w:p>
      <w:pPr>
        <w:pStyle w:val="ListParagraph"/>
        <w:numPr>
          <w:ilvl w:val="0"/>
          <w:numId w:val="5"/>
        </w:numPr>
        <w:spacing w:lineRule="auto" w:line="240" w:before="0" w:after="120"/>
        <w:ind w:left="714" w:hanging="357"/>
        <w:rPr>
          <w:rFonts w:ascii="Arial" w:hAnsi="Arial" w:cs="Arial"/>
          <w:lang w:val="bg-BG"/>
        </w:rPr>
      </w:pPr>
      <w:r>
        <w:rPr>
          <w:rFonts w:cs="Arial" w:ascii="Arial" w:hAnsi="Arial"/>
          <w:lang w:val="bg-BG"/>
        </w:rPr>
        <w:t xml:space="preserve">Рискове с ниска тежест и вероятност </w:t>
      </w:r>
      <w:r>
        <w:rPr>
          <w:rFonts w:cs="Arial" w:ascii="Arial" w:hAnsi="Arial"/>
          <w:lang w:val="en-US"/>
        </w:rPr>
        <w:t xml:space="preserve">(1, 2, 4, 5) </w:t>
      </w:r>
      <w:r>
        <w:rPr>
          <w:rFonts w:cs="Arial" w:ascii="Arial" w:hAnsi="Arial"/>
          <w:lang w:val="bg-BG"/>
        </w:rPr>
        <w:t>могат да бъдат третирани на по-късен етап, още повече че прилагането на мерките спрямо рисковете с по-висок приоритет може да доведе до тяхното елиминиране или значително ограничаване.</w:t>
      </w:r>
    </w:p>
    <w:p>
      <w:pPr>
        <w:pStyle w:val="Normal"/>
        <w:spacing w:before="0" w:after="120"/>
        <w:rPr/>
      </w:pPr>
      <w:r>
        <w:rPr>
          <w:rFonts w:cs="Arial" w:ascii="Arial" w:hAnsi="Arial"/>
          <w:sz w:val="22"/>
        </w:rPr>
        <w:t xml:space="preserve">В зависимост от приоритизацията на рисковете и идентифицираното ниво на въздействие, </w:t>
      </w:r>
      <w:r>
        <w:rPr>
          <w:rStyle w:val="SGDPRAdministratorNameChar"/>
          <w:rFonts w:cs="Arial" w:ascii="Arial" w:hAnsi="Arial"/>
          <w:sz w:val="22"/>
        </w:rPr>
        <w:t>ПАТО ЕООД</w:t>
      </w:r>
      <w:r>
        <w:rPr>
          <w:rFonts w:cs="Arial" w:ascii="Arial" w:hAnsi="Arial"/>
          <w:sz w:val="22"/>
          <w:lang w:val="en-US"/>
        </w:rPr>
        <w:t xml:space="preserve"> </w:t>
      </w:r>
      <w:r>
        <w:rPr>
          <w:rFonts w:cs="Arial" w:ascii="Arial" w:hAnsi="Arial"/>
          <w:sz w:val="22"/>
        </w:rPr>
        <w:t xml:space="preserve">определя съответно ниво на защита – ниско, средно, високо или изключително високо, както и организационните и технически мерки, адекватни на така определеното ниво. </w:t>
      </w:r>
    </w:p>
    <w:p>
      <w:pPr>
        <w:pStyle w:val="Normal"/>
        <w:spacing w:before="0" w:after="120"/>
        <w:rPr/>
      </w:pPr>
      <w:r>
        <w:rPr>
          <w:rFonts w:cs="Arial" w:ascii="Arial" w:hAnsi="Arial"/>
          <w:sz w:val="22"/>
        </w:rPr>
        <w:t>Минимално необходимото съдържание на ОВЗД е:</w:t>
      </w:r>
    </w:p>
    <w:p>
      <w:pPr>
        <w:pStyle w:val="ListParagraph"/>
        <w:numPr>
          <w:ilvl w:val="0"/>
          <w:numId w:val="6"/>
        </w:numPr>
        <w:spacing w:lineRule="auto" w:line="240" w:before="0" w:after="120"/>
        <w:ind w:left="850" w:hanging="425"/>
        <w:rPr>
          <w:rFonts w:ascii="Arial" w:hAnsi="Arial" w:cs="Arial"/>
          <w:lang w:val="bg-BG"/>
        </w:rPr>
      </w:pPr>
      <w:r>
        <w:rPr>
          <w:rFonts w:cs="Arial" w:ascii="Arial" w:hAnsi="Arial"/>
          <w:lang w:val="bg-BG"/>
        </w:rPr>
        <w:t>системен опис на предвидените операции по обработване и целите на обработването, включително, ако е приложимо, преследвания от администратора законен интерес;</w:t>
      </w:r>
    </w:p>
    <w:p>
      <w:pPr>
        <w:pStyle w:val="ListParagraph"/>
        <w:numPr>
          <w:ilvl w:val="0"/>
          <w:numId w:val="6"/>
        </w:numPr>
        <w:spacing w:lineRule="auto" w:line="240" w:before="0" w:after="120"/>
        <w:ind w:left="850" w:hanging="425"/>
        <w:rPr>
          <w:rFonts w:ascii="Arial" w:hAnsi="Arial" w:cs="Arial"/>
          <w:lang w:val="bg-BG"/>
        </w:rPr>
      </w:pPr>
      <w:r>
        <w:rPr>
          <w:rFonts w:cs="Arial" w:ascii="Arial" w:hAnsi="Arial"/>
          <w:lang w:val="bg-BG"/>
        </w:rPr>
        <w:t>оценка на необходимостта и пропорционалността на операциите по обработване по отношение на целите;</w:t>
      </w:r>
    </w:p>
    <w:p>
      <w:pPr>
        <w:pStyle w:val="ListParagraph"/>
        <w:numPr>
          <w:ilvl w:val="0"/>
          <w:numId w:val="6"/>
        </w:numPr>
        <w:spacing w:lineRule="auto" w:line="240" w:before="0" w:after="120"/>
        <w:ind w:left="850" w:hanging="425"/>
        <w:rPr>
          <w:rFonts w:ascii="Arial" w:hAnsi="Arial" w:cs="Arial"/>
          <w:lang w:val="bg-BG"/>
        </w:rPr>
      </w:pPr>
      <w:r>
        <w:rPr>
          <w:rFonts w:cs="Arial" w:ascii="Arial" w:hAnsi="Arial"/>
          <w:lang w:val="bg-BG"/>
        </w:rPr>
        <w:t>оценка на рисковете за правата и свободите на субектите на данни; и</w:t>
      </w:r>
    </w:p>
    <w:p>
      <w:pPr>
        <w:pStyle w:val="ListParagraph"/>
        <w:numPr>
          <w:ilvl w:val="0"/>
          <w:numId w:val="6"/>
        </w:numPr>
        <w:spacing w:lineRule="auto" w:line="240" w:before="0" w:after="120"/>
        <w:ind w:left="850" w:hanging="425"/>
        <w:rPr>
          <w:rFonts w:ascii="Arial" w:hAnsi="Arial" w:cs="Arial"/>
          <w:lang w:val="bg-BG"/>
        </w:rPr>
      </w:pPr>
      <w:r>
        <w:rPr>
          <w:rFonts w:cs="Arial" w:ascii="Arial" w:hAnsi="Arial"/>
          <w:lang w:val="bg-BG"/>
        </w:rPr>
        <w:t>мерките, предвидени за справяне с рисковете, включително гаранциите, мерките за сигурност и механизмите за осигуряване на защитата на личните данни и за демонстриране на спазването на ОРЗД.</w:t>
      </w:r>
    </w:p>
    <w:p>
      <w:pPr>
        <w:pStyle w:val="Normal"/>
        <w:spacing w:before="0" w:after="120"/>
        <w:rPr/>
      </w:pPr>
      <w:r>
        <w:rPr>
          <w:rFonts w:cs="Arial" w:ascii="Arial" w:hAnsi="Arial"/>
          <w:sz w:val="22"/>
        </w:rPr>
        <w:t xml:space="preserve">Заедно с определянето на мерки за елиминирането или ограничаването на съществуващите рискове, </w:t>
      </w:r>
      <w:r>
        <w:rPr>
          <w:rStyle w:val="SGDPRAdministratorNameChar"/>
          <w:rFonts w:cs="Arial" w:ascii="Arial" w:hAnsi="Arial"/>
          <w:sz w:val="22"/>
        </w:rPr>
        <w:t xml:space="preserve">ПАТО ЕООД </w:t>
      </w:r>
      <w:r>
        <w:rPr>
          <w:rFonts w:cs="Arial" w:ascii="Arial" w:hAnsi="Arial"/>
          <w:sz w:val="22"/>
          <w:lang w:val="en-US"/>
        </w:rPr>
        <w:t xml:space="preserve"> </w:t>
      </w:r>
      <w:r>
        <w:rPr>
          <w:rFonts w:cs="Arial" w:ascii="Arial" w:hAnsi="Arial"/>
          <w:sz w:val="22"/>
        </w:rPr>
        <w:t>посочва лице, което отговаря за изпълнението на мерките и определя срок за изпълнението.</w:t>
      </w:r>
    </w:p>
    <w:p>
      <w:pPr>
        <w:pStyle w:val="Normal"/>
        <w:spacing w:before="0" w:after="120"/>
        <w:rPr/>
      </w:pPr>
      <w:r>
        <w:rPr>
          <w:rFonts w:cs="Arial" w:ascii="Arial" w:hAnsi="Arial"/>
          <w:sz w:val="22"/>
        </w:rPr>
        <w:t xml:space="preserve">Накрая, след консултация с Длъжностното лице по защита на данните / Отговорника по защита на данните, </w:t>
      </w:r>
      <w:r>
        <w:rPr>
          <w:rStyle w:val="SGDPRAdministratorNameChar"/>
          <w:rFonts w:cs="Arial" w:ascii="Arial" w:hAnsi="Arial"/>
          <w:sz w:val="22"/>
        </w:rPr>
        <w:t>ПАТО ЕООД</w:t>
      </w:r>
      <w:r>
        <w:rPr>
          <w:rFonts w:cs="Arial" w:ascii="Arial" w:hAnsi="Arial"/>
          <w:sz w:val="22"/>
        </w:rPr>
        <w:t xml:space="preserve"> одобрява и подписва ОВЗД за всяка подлежаща на оценка на въздействието дейност/проект по обработка на лични данни.</w:t>
      </w:r>
    </w:p>
    <w:p>
      <w:pPr>
        <w:pStyle w:val="Normal"/>
        <w:spacing w:before="0" w:after="120"/>
        <w:rPr/>
      </w:pPr>
      <w:r>
        <w:rPr>
          <w:rFonts w:cs="Arial" w:ascii="Arial" w:hAnsi="Arial"/>
          <w:sz w:val="22"/>
        </w:rPr>
        <w:t xml:space="preserve">Освен при започване на нова дейност/проект, </w:t>
      </w:r>
      <w:r>
        <w:rPr>
          <w:rFonts w:cs="Arial" w:ascii="Arial" w:hAnsi="Arial"/>
          <w:sz w:val="22"/>
          <w:lang w:val="en-US"/>
        </w:rPr>
        <w:t xml:space="preserve">ПАТО ЕООД </w:t>
      </w:r>
      <w:r>
        <w:rPr>
          <w:rFonts w:cs="Arial" w:ascii="Arial" w:hAnsi="Arial"/>
          <w:sz w:val="22"/>
        </w:rPr>
        <w:t>прави преглед за необходимостта от извършване на оценка на въздействието и при всяка промяна в риска, с който са свързани вече съществуващи операции по обработване</w:t>
      </w:r>
    </w:p>
    <w:p>
      <w:pPr>
        <w:pStyle w:val="Normal"/>
        <w:spacing w:before="0" w:after="120"/>
        <w:rPr/>
      </w:pPr>
      <w:r>
        <w:rPr>
          <w:rFonts w:cs="Arial" w:ascii="Arial" w:hAnsi="Arial"/>
          <w:sz w:val="22"/>
        </w:rPr>
        <w:t xml:space="preserve">ОВЗД следва постоянно да се преразглежда и да подлежи на редовна повторна оценка. </w:t>
      </w:r>
    </w:p>
    <w:p>
      <w:pPr>
        <w:pStyle w:val="Normal"/>
        <w:spacing w:before="0" w:after="120"/>
        <w:rPr>
          <w:rFonts w:ascii="Arial" w:hAnsi="Arial" w:cs="Arial"/>
          <w:sz w:val="22"/>
        </w:rPr>
      </w:pPr>
      <w:r>
        <w:rPr>
          <w:rFonts w:cs="Arial" w:ascii="Arial" w:hAnsi="Arial"/>
          <w:sz w:val="22"/>
        </w:rPr>
      </w:r>
    </w:p>
    <w:p>
      <w:pPr>
        <w:pStyle w:val="Normal"/>
        <w:spacing w:before="0" w:after="120"/>
        <w:rPr/>
      </w:pPr>
      <w:r>
        <w:rPr>
          <w:rFonts w:cs="Arial" w:ascii="Arial" w:hAnsi="Arial"/>
          <w:sz w:val="22"/>
        </w:rPr>
        <w:t>Пълният цикъл на повтарящия се процес на извършване на ОВЗД е онагледен  със следната илюстрация:</w:t>
      </w:r>
    </w:p>
    <w:p>
      <w:pPr>
        <w:pStyle w:val="Normal"/>
        <w:spacing w:before="0" w:after="120"/>
        <w:jc w:val="center"/>
        <w:rPr/>
      </w:pPr>
      <w:r>
        <w:rPr/>
        <w:drawing>
          <wp:inline distT="0" distB="0" distL="0" distR="0">
            <wp:extent cx="4182745" cy="3639820"/>
            <wp:effectExtent l="0" t="0" r="0" b="0"/>
            <wp:docPr id="1" name="Picture" descr="https://web.apis.bg/ei/1360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ttps://web.apis.bg/ei/136075.png"/>
                    <pic:cNvPicPr>
                      <a:picLocks noChangeAspect="1" noChangeArrowheads="1"/>
                    </pic:cNvPicPr>
                  </pic:nvPicPr>
                  <pic:blipFill>
                    <a:blip r:embed="rId15"/>
                    <a:stretch>
                      <a:fillRect/>
                    </a:stretch>
                  </pic:blipFill>
                  <pic:spPr bwMode="auto">
                    <a:xfrm>
                      <a:off x="0" y="0"/>
                      <a:ext cx="4182745" cy="3639820"/>
                    </a:xfrm>
                    <a:prstGeom prst="rect">
                      <a:avLst/>
                    </a:prstGeom>
                  </pic:spPr>
                </pic:pic>
              </a:graphicData>
            </a:graphic>
          </wp:inline>
        </w:drawing>
      </w:r>
    </w:p>
    <w:p>
      <w:pPr>
        <w:pStyle w:val="ListParagraph"/>
        <w:numPr>
          <w:ilvl w:val="0"/>
          <w:numId w:val="4"/>
        </w:numPr>
        <w:spacing w:lineRule="auto" w:line="240" w:before="0" w:after="120"/>
        <w:rPr>
          <w:rFonts w:ascii="Arial" w:hAnsi="Arial" w:cs="Arial"/>
          <w:b/>
          <w:b/>
          <w:sz w:val="24"/>
          <w:lang w:val="bg-BG"/>
        </w:rPr>
      </w:pPr>
      <w:r>
        <w:rPr>
          <w:rFonts w:cs="Arial" w:ascii="Arial" w:hAnsi="Arial"/>
          <w:b/>
          <w:sz w:val="24"/>
          <w:lang w:val="bg-BG"/>
        </w:rPr>
        <w:t>Записи в Регистъра на дейностите по обработване</w:t>
      </w:r>
    </w:p>
    <w:p>
      <w:pPr>
        <w:pStyle w:val="Normal"/>
        <w:spacing w:before="0" w:after="120"/>
        <w:rPr/>
      </w:pPr>
      <w:r>
        <w:rPr>
          <w:rFonts w:cs="Arial" w:ascii="Arial" w:hAnsi="Arial"/>
          <w:sz w:val="22"/>
        </w:rPr>
        <w:t>ПАТО ЕООД записва информация за всички лични данни, включително разпознатите като „рискови“, обработвани в рамките на всяка отделна дейност/проект, и за всички процеси, свързани с тази дейност/проект в</w:t>
      </w:r>
      <w:r>
        <w:rPr>
          <w:rFonts w:cs="Arial" w:ascii="Arial" w:hAnsi="Arial"/>
          <w:sz w:val="22"/>
          <w:shd w:fill="000000" w:val="clear"/>
        </w:rPr>
        <w:t xml:space="preserve"> </w:t>
      </w:r>
      <w:r>
        <w:rPr>
          <w:rStyle w:val="SGDPRRegister1Char"/>
          <w:color w:val="000000"/>
          <w:sz w:val="22"/>
          <w:highlight w:val="white"/>
        </w:rPr>
        <w:t>Регистъра на дейностите по обработване</w:t>
      </w:r>
      <w:r>
        <w:rPr>
          <w:rFonts w:cs="Arial" w:ascii="Arial" w:hAnsi="Arial"/>
          <w:color w:val="000000"/>
          <w:sz w:val="22"/>
          <w:shd w:fill="FFFFFF" w:val="clear"/>
        </w:rPr>
        <w:t>.</w:t>
      </w:r>
    </w:p>
    <w:p>
      <w:pPr>
        <w:pStyle w:val="Normal"/>
        <w:spacing w:before="0" w:after="120"/>
        <w:rPr/>
      </w:pPr>
      <w:r>
        <w:rPr>
          <w:rFonts w:cs="Arial" w:ascii="Arial" w:hAnsi="Arial"/>
          <w:sz w:val="22"/>
        </w:rPr>
        <w:t xml:space="preserve"> </w:t>
      </w:r>
      <w:r>
        <w:rPr>
          <w:rFonts w:cs="Arial" w:ascii="Arial" w:hAnsi="Arial"/>
          <w:sz w:val="22"/>
        </w:rPr>
        <w:t xml:space="preserve">Това включва описание на обработката и целите за които се извършва, </w:t>
      </w:r>
      <w:r>
        <w:rPr>
          <w:rFonts w:cs="Arial" w:ascii="Arial" w:hAnsi="Arial"/>
          <w:color w:val="00000A"/>
          <w:sz w:val="22"/>
        </w:rPr>
        <w:t>законоустановените</w:t>
      </w:r>
      <w:r>
        <w:rPr>
          <w:rFonts w:cs="Arial" w:ascii="Arial" w:hAnsi="Arial"/>
          <w:sz w:val="22"/>
        </w:rPr>
        <w:t xml:space="preserve"> интереси, преследвани от администратора, оценка на необходимостта и пропорционалността на обработката на данните, категорията на данните </w:t>
      </w:r>
      <w:r>
        <w:rPr>
          <w:rFonts w:cs="Arial" w:ascii="Arial" w:hAnsi="Arial"/>
          <w:sz w:val="22"/>
          <w:lang w:val="en-US"/>
        </w:rPr>
        <w:t>(</w:t>
      </w:r>
      <w:r>
        <w:rPr>
          <w:rFonts w:cs="Arial" w:ascii="Arial" w:hAnsi="Arial"/>
          <w:sz w:val="22"/>
        </w:rPr>
        <w:t>общи, специални, отнасящи се до дете</w:t>
      </w:r>
      <w:r>
        <w:rPr>
          <w:rFonts w:cs="Arial" w:ascii="Arial" w:hAnsi="Arial"/>
          <w:sz w:val="22"/>
          <w:lang w:val="en-US"/>
        </w:rPr>
        <w:t>)</w:t>
      </w:r>
      <w:r>
        <w:rPr>
          <w:rFonts w:cs="Arial" w:ascii="Arial" w:hAnsi="Arial"/>
          <w:sz w:val="22"/>
        </w:rPr>
        <w:t>, формáта на данните,</w:t>
      </w:r>
      <w:r>
        <w:rPr>
          <w:rFonts w:cs="Arial" w:ascii="Arial" w:hAnsi="Arial"/>
          <w:sz w:val="22"/>
          <w:lang w:val="en-US"/>
        </w:rPr>
        <w:t xml:space="preserve"> </w:t>
      </w:r>
      <w:r>
        <w:rPr>
          <w:rFonts w:cs="Arial" w:ascii="Arial" w:hAnsi="Arial"/>
          <w:sz w:val="22"/>
        </w:rPr>
        <w:t>оценка на рисковете за правата и свободите на субектите на данни (съгласно схемата и определенията за нивото на въздействие, посочени по-горе</w:t>
      </w:r>
      <w:r>
        <w:rPr>
          <w:rFonts w:cs="Arial" w:ascii="Arial" w:hAnsi="Arial"/>
          <w:sz w:val="22"/>
          <w:shd w:fill="FFFFFF" w:val="clear"/>
        </w:rPr>
        <w:t xml:space="preserve">). В </w:t>
      </w:r>
      <w:r>
        <w:rPr>
          <w:rStyle w:val="SGDPRRegister1Char"/>
          <w:color w:val="000000"/>
          <w:sz w:val="22"/>
          <w:highlight w:val="white"/>
        </w:rPr>
        <w:t>Регистъра на дейностите по обработване</w:t>
      </w:r>
      <w:r>
        <w:rPr>
          <w:rFonts w:cs="Arial" w:ascii="Arial" w:hAnsi="Arial"/>
          <w:color w:val="000000"/>
          <w:sz w:val="22"/>
          <w:shd w:fill="FFFFFF" w:val="clear"/>
        </w:rPr>
        <w:t xml:space="preserve"> </w:t>
      </w:r>
      <w:r>
        <w:rPr>
          <w:rFonts w:cs="Arial" w:ascii="Arial" w:hAnsi="Arial"/>
          <w:sz w:val="22"/>
        </w:rPr>
        <w:t xml:space="preserve">се вписват също така всички видове операции по обработката на данните – събиране, прехвърляне, съхранение, достъп, изтриване. След извършването на ОВЗД, в </w:t>
      </w:r>
      <w:r>
        <w:rPr>
          <w:rStyle w:val="SGDPRRegister1Char"/>
          <w:color w:val="000000"/>
          <w:sz w:val="22"/>
        </w:rPr>
        <w:t>Регистъра на дейностите по обработване</w:t>
      </w:r>
      <w:r>
        <w:rPr>
          <w:rFonts w:cs="Arial" w:ascii="Arial" w:hAnsi="Arial"/>
          <w:color w:val="000000"/>
          <w:sz w:val="22"/>
        </w:rPr>
        <w:t xml:space="preserve"> </w:t>
      </w:r>
      <w:r>
        <w:rPr>
          <w:rFonts w:cs="Arial" w:ascii="Arial" w:hAnsi="Arial"/>
          <w:sz w:val="22"/>
        </w:rPr>
        <w:t>са вписват данни и за определеното адекватно ниво на защита и набелязаните организационни и технически мерки за елиминиране или ограничаване на рисковете.</w:t>
      </w:r>
    </w:p>
    <w:p>
      <w:pPr>
        <w:pStyle w:val="Normal"/>
        <w:spacing w:before="0" w:after="120"/>
        <w:rPr/>
      </w:pPr>
      <w:r>
        <w:rPr>
          <w:rFonts w:cs="Arial" w:ascii="Arial" w:hAnsi="Arial"/>
          <w:sz w:val="22"/>
        </w:rPr>
        <w:t xml:space="preserve">С оглед на идентифицираното основание за обработка на данните, ПАТО ЕООД определя и записва в </w:t>
      </w:r>
      <w:r>
        <w:rPr>
          <w:rStyle w:val="SGDPRRegister1Char"/>
          <w:color w:val="000000"/>
          <w:sz w:val="22"/>
        </w:rPr>
        <w:t>Регистъра на дейностите по обработване</w:t>
      </w:r>
      <w:r>
        <w:rPr>
          <w:rFonts w:cs="Arial" w:ascii="Arial" w:hAnsi="Arial"/>
          <w:color w:val="000000"/>
          <w:sz w:val="22"/>
        </w:rPr>
        <w:t xml:space="preserve"> </w:t>
      </w:r>
      <w:r>
        <w:rPr>
          <w:rFonts w:cs="Arial" w:ascii="Arial" w:hAnsi="Arial"/>
          <w:sz w:val="22"/>
        </w:rPr>
        <w:t>съответния период на съхранение (в съответствие с Процедура за съхраняване и унищожаване на данните (GDPR_PROC_07)).</w:t>
      </w:r>
    </w:p>
    <w:p>
      <w:pPr>
        <w:pStyle w:val="Normal"/>
        <w:spacing w:before="0" w:after="120"/>
        <w:rPr>
          <w:rFonts w:ascii="Arial" w:hAnsi="Arial" w:cs="Arial"/>
          <w:sz w:val="22"/>
        </w:rPr>
      </w:pPr>
      <w:r>
        <w:rPr>
          <w:rFonts w:cs="Arial" w:ascii="Arial" w:hAnsi="Arial"/>
          <w:sz w:val="22"/>
        </w:rPr>
        <w:t>Организацията определя и посочва в</w:t>
      </w:r>
      <w:r>
        <w:rPr>
          <w:rFonts w:cs="Arial" w:ascii="Arial" w:hAnsi="Arial"/>
          <w:color w:val="000000"/>
          <w:sz w:val="22"/>
        </w:rPr>
        <w:t xml:space="preserve"> </w:t>
      </w:r>
      <w:r>
        <w:rPr>
          <w:rStyle w:val="SGDPRRegister1Char"/>
          <w:color w:val="000000"/>
          <w:sz w:val="22"/>
        </w:rPr>
        <w:t>Регистъра на дейностите по обработване</w:t>
      </w:r>
      <w:r>
        <w:rPr>
          <w:rFonts w:cs="Arial" w:ascii="Arial" w:hAnsi="Arial"/>
          <w:sz w:val="22"/>
        </w:rPr>
        <w:t xml:space="preserve"> кои лица имат достъп до данните (физически лица, работни екипи, организационни звена, трети лица) и/или кои лица участват в обработката на личните данни, включително географското местоположение на мястото на извършване на обработката, както и дали се извършва трансгранична обработка.</w:t>
      </w:r>
    </w:p>
    <w:p>
      <w:pPr>
        <w:pStyle w:val="ListParagraph"/>
        <w:numPr>
          <w:ilvl w:val="0"/>
          <w:numId w:val="4"/>
        </w:numPr>
        <w:spacing w:lineRule="auto" w:line="240" w:before="0" w:after="120"/>
        <w:rPr>
          <w:rFonts w:ascii="Arial" w:hAnsi="Arial" w:cs="Arial"/>
          <w:b/>
          <w:b/>
          <w:sz w:val="24"/>
          <w:lang w:val="bg-BG"/>
        </w:rPr>
      </w:pPr>
      <w:r>
        <w:rPr>
          <w:rFonts w:cs="Arial" w:ascii="Arial" w:hAnsi="Arial"/>
          <w:b/>
          <w:sz w:val="24"/>
          <w:lang w:val="bg-BG"/>
        </w:rPr>
        <w:t>Предварителна консултация</w:t>
      </w:r>
    </w:p>
    <w:p>
      <w:pPr>
        <w:pStyle w:val="Normal"/>
        <w:spacing w:before="0" w:after="120"/>
        <w:rPr/>
      </w:pPr>
      <w:r>
        <w:rPr>
          <w:rFonts w:cs="Arial" w:ascii="Arial" w:hAnsi="Arial"/>
          <w:sz w:val="22"/>
        </w:rPr>
        <w:t>Когато в резултат на извършена ОВЗД преди започването на обработката на лични данни ПАТО ЕООЕустанови,</w:t>
      </w:r>
      <w:r>
        <w:rPr>
          <w:rFonts w:cs="Arial" w:ascii="Arial" w:hAnsi="Arial"/>
          <w:sz w:val="22"/>
          <w:lang w:val="en-US"/>
        </w:rPr>
        <w:t xml:space="preserve"> </w:t>
      </w:r>
      <w:r>
        <w:rPr>
          <w:rFonts w:cs="Arial" w:ascii="Arial" w:hAnsi="Arial"/>
          <w:sz w:val="22"/>
        </w:rPr>
        <w:t xml:space="preserve">че обработката им ще доведе до висок риск за субектите на данни и че не е могъл да идентифицира адекватни мерки за ограничаване и контрол на риска, организацията се консултира с надзорния орган (за България КЗЛД) съгласно изискванията на </w:t>
      </w:r>
      <w:hyperlink r:id="rId16">
        <w:r>
          <w:rPr>
            <w:rStyle w:val="Style14"/>
            <w:rFonts w:cs="Arial" w:ascii="Arial" w:hAnsi="Arial"/>
            <w:sz w:val="22"/>
          </w:rPr>
          <w:t>чл. 36 от ОРЗД</w:t>
        </w:r>
      </w:hyperlink>
      <w:r>
        <w:rPr>
          <w:rFonts w:cs="Arial" w:ascii="Arial" w:hAnsi="Arial"/>
          <w:sz w:val="22"/>
        </w:rPr>
        <w:t>.</w:t>
      </w:r>
    </w:p>
    <w:p>
      <w:pPr>
        <w:pStyle w:val="Normal"/>
        <w:spacing w:before="0" w:after="120"/>
        <w:rPr/>
      </w:pPr>
      <w:r>
        <w:rPr>
          <w:rFonts w:cs="Arial" w:ascii="Arial" w:hAnsi="Arial"/>
          <w:sz w:val="22"/>
        </w:rPr>
        <w:t xml:space="preserve">Когато поиска консултация от надзорния орган, </w:t>
      </w:r>
      <w:r>
        <w:rPr>
          <w:rStyle w:val="SGDPRAdministratorNameChar"/>
          <w:rFonts w:cs="Arial" w:ascii="Arial" w:hAnsi="Arial"/>
          <w:color w:val="000000"/>
          <w:sz w:val="22"/>
        </w:rPr>
        <w:t xml:space="preserve">ПАТО ЕООД </w:t>
      </w:r>
      <w:r>
        <w:rPr>
          <w:rFonts w:cs="Arial" w:ascii="Arial" w:hAnsi="Arial"/>
          <w:sz w:val="22"/>
        </w:rPr>
        <w:t xml:space="preserve"> му предоставя следната информация:</w:t>
      </w:r>
    </w:p>
    <w:p>
      <w:pPr>
        <w:pStyle w:val="ListParagraph"/>
        <w:numPr>
          <w:ilvl w:val="0"/>
          <w:numId w:val="2"/>
        </w:numPr>
        <w:spacing w:lineRule="auto" w:line="240" w:before="0" w:after="120"/>
        <w:rPr/>
      </w:pPr>
      <w:r>
        <w:rPr>
          <w:rFonts w:cs="Arial" w:ascii="Arial" w:hAnsi="Arial"/>
          <w:lang w:val="en-US"/>
        </w:rPr>
        <w:t xml:space="preserve"> </w:t>
      </w:r>
      <w:r>
        <w:rPr>
          <w:rFonts w:cs="Arial" w:ascii="Arial" w:hAnsi="Arial"/>
          <w:lang w:val="bg-BG"/>
        </w:rPr>
        <w:t>информация за съответните отговорности на администратора, съвместните администратори и обработващите лични данни, които се занимават с обработването</w:t>
      </w:r>
    </w:p>
    <w:p>
      <w:pPr>
        <w:pStyle w:val="ListParagraph"/>
        <w:numPr>
          <w:ilvl w:val="0"/>
          <w:numId w:val="2"/>
        </w:numPr>
        <w:spacing w:lineRule="auto" w:line="240" w:before="0" w:after="120"/>
        <w:rPr>
          <w:rFonts w:ascii="Arial" w:hAnsi="Arial" w:cs="Arial"/>
          <w:lang w:val="bg-BG"/>
        </w:rPr>
      </w:pPr>
      <w:r>
        <w:rPr>
          <w:rFonts w:cs="Arial" w:ascii="Arial" w:hAnsi="Arial"/>
          <w:lang w:val="bg-BG"/>
        </w:rPr>
        <w:t>целите на планираното обработване и средствата за него;</w:t>
      </w:r>
    </w:p>
    <w:p>
      <w:pPr>
        <w:pStyle w:val="ListParagraph"/>
        <w:numPr>
          <w:ilvl w:val="0"/>
          <w:numId w:val="2"/>
        </w:numPr>
        <w:spacing w:lineRule="auto" w:line="240" w:before="0" w:after="120"/>
        <w:rPr>
          <w:rFonts w:ascii="Arial" w:hAnsi="Arial" w:cs="Arial"/>
          <w:lang w:val="bg-BG"/>
        </w:rPr>
      </w:pPr>
      <w:r>
        <w:rPr>
          <w:rFonts w:cs="Arial" w:ascii="Arial" w:hAnsi="Arial"/>
          <w:lang w:val="bg-BG"/>
        </w:rPr>
        <w:t>предвидените мерки и гаранции за защита на правата и свободите на субектите на данни;</w:t>
      </w:r>
    </w:p>
    <w:p>
      <w:pPr>
        <w:pStyle w:val="ListParagraph"/>
        <w:numPr>
          <w:ilvl w:val="0"/>
          <w:numId w:val="2"/>
        </w:numPr>
        <w:spacing w:lineRule="auto" w:line="240" w:before="0" w:after="120"/>
        <w:rPr>
          <w:rFonts w:ascii="Arial" w:hAnsi="Arial" w:cs="Arial"/>
          <w:lang w:val="bg-BG"/>
        </w:rPr>
      </w:pPr>
      <w:r>
        <w:rPr>
          <w:rFonts w:cs="Arial" w:ascii="Arial" w:hAnsi="Arial"/>
          <w:lang w:val="en-US"/>
        </w:rPr>
        <w:t>(</w:t>
      </w:r>
      <w:r>
        <w:rPr>
          <w:rFonts w:cs="Arial" w:ascii="Arial" w:hAnsi="Arial"/>
          <w:lang w:val="bg-BG"/>
        </w:rPr>
        <w:t>доколкото е приложимо</w:t>
      </w:r>
      <w:r>
        <w:rPr>
          <w:rFonts w:cs="Arial" w:ascii="Arial" w:hAnsi="Arial"/>
          <w:lang w:val="en-US"/>
        </w:rPr>
        <w:t xml:space="preserve">) </w:t>
      </w:r>
      <w:bookmarkStart w:id="0" w:name="_GoBack"/>
      <w:bookmarkEnd w:id="0"/>
      <w:r>
        <w:rPr>
          <w:rFonts w:cs="Arial" w:ascii="Arial" w:hAnsi="Arial"/>
          <w:lang w:val="bg-BG"/>
        </w:rPr>
        <w:t>координатите за връзка на длъжностното лице по защита на данните;</w:t>
      </w:r>
    </w:p>
    <w:p>
      <w:pPr>
        <w:pStyle w:val="ListParagraph"/>
        <w:numPr>
          <w:ilvl w:val="0"/>
          <w:numId w:val="2"/>
        </w:numPr>
        <w:spacing w:lineRule="auto" w:line="240" w:before="0" w:after="120"/>
        <w:rPr>
          <w:rFonts w:ascii="Arial" w:hAnsi="Arial" w:cs="Arial"/>
          <w:lang w:val="bg-BG"/>
        </w:rPr>
      </w:pPr>
      <w:r>
        <w:rPr>
          <w:rFonts w:cs="Arial" w:ascii="Arial" w:hAnsi="Arial"/>
          <w:lang w:val="bg-BG"/>
        </w:rPr>
        <w:t>копие от ОВЗД, както и</w:t>
      </w:r>
    </w:p>
    <w:p>
      <w:pPr>
        <w:pStyle w:val="ListParagraph"/>
        <w:numPr>
          <w:ilvl w:val="0"/>
          <w:numId w:val="2"/>
        </w:numPr>
        <w:spacing w:lineRule="auto" w:line="240" w:before="0" w:after="120"/>
        <w:rPr>
          <w:rFonts w:ascii="Arial" w:hAnsi="Arial" w:cs="Arial"/>
          <w:lang w:val="bg-BG"/>
        </w:rPr>
      </w:pPr>
      <w:r>
        <w:rPr>
          <w:rFonts w:cs="Arial" w:ascii="Arial" w:hAnsi="Arial"/>
          <w:lang w:val="bg-BG"/>
        </w:rPr>
        <w:t>всякаква друга информация, поискана от надзорния орган.</w:t>
      </w:r>
    </w:p>
    <w:p>
      <w:pPr>
        <w:pStyle w:val="Normal"/>
        <w:rPr/>
      </w:pPr>
      <w:r>
        <w:rPr/>
      </w:r>
    </w:p>
    <w:sectPr>
      <w:headerReference w:type="default" r:id="rId17"/>
      <w:footerReference w:type="default" r:id="rId18"/>
      <w:footnotePr>
        <w:numFmt w:val="decimal"/>
      </w:footnotePr>
      <w:type w:val="nextPage"/>
      <w:pgSz w:w="11906" w:h="16838"/>
      <w:pgMar w:left="1417" w:right="991" w:header="708" w:top="1417" w:footer="708" w:bottom="184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5" w:type="dxa"/>
      <w:tblCellMar>
        <w:top w:w="0" w:type="dxa"/>
        <w:left w:w="103" w:type="dxa"/>
        <w:bottom w:w="0" w:type="dxa"/>
        <w:right w:w="108" w:type="dxa"/>
      </w:tblCellMar>
    </w:tblPr>
    <w:tblGrid>
      <w:gridCol w:w="3066"/>
      <w:gridCol w:w="3067"/>
      <w:gridCol w:w="3501"/>
    </w:tblGrid>
    <w:tr>
      <w:trPr>
        <w:trHeight w:val="294" w:hRule="atLeast"/>
      </w:trPr>
      <w:tc>
        <w:tcPr>
          <w:tcW w:w="9634" w:type="dxa"/>
          <w:gridSpan w:val="3"/>
          <w:tcBorders/>
          <w:shd w:color="auto" w:fill="F2F2F2" w:themeFill="background1" w:themeFillShade="f2" w:val="clear"/>
          <w:tcMar>
            <w:left w:w="103" w:type="dxa"/>
          </w:tcMar>
        </w:tcPr>
        <w:p>
          <w:pPr>
            <w:pStyle w:val="Normal"/>
            <w:spacing w:lineRule="auto" w:line="240" w:before="0" w:after="0"/>
            <w:rPr>
              <w:rFonts w:cs="Times New Roman"/>
              <w:sz w:val="22"/>
              <w:szCs w:val="22"/>
              <w:lang w:val="bg-BG"/>
            </w:rPr>
          </w:pPr>
          <w:r>
            <w:rPr>
              <w:rFonts w:cs="Times New Roman"/>
              <w:sz w:val="22"/>
              <w:szCs w:val="22"/>
              <w:lang w:val="bg-BG"/>
            </w:rPr>
            <w:t>Контакт с Администратора на лични данни:</w:t>
          </w:r>
        </w:p>
      </w:tc>
    </w:tr>
    <w:tr>
      <w:trPr/>
      <w:tc>
        <w:tcPr>
          <w:tcW w:w="3066"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Уебсайт: </w:t>
          </w:r>
          <w:r>
            <w:rPr>
              <w:rStyle w:val="SGDPRWebsiteChar"/>
              <w:rFonts w:cs="Times New Roman"/>
              <w:sz w:val="22"/>
              <w:lang w:val="en-GB"/>
            </w:rPr>
            <w:t>www.pato.bg</w:t>
          </w:r>
        </w:p>
      </w:tc>
      <w:tc>
        <w:tcPr>
          <w:tcW w:w="3067"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E-mail: </w:t>
          </w:r>
          <w:r>
            <w:rPr>
              <w:rStyle w:val="SGDPREmailChar"/>
              <w:rFonts w:cs="Times New Roman"/>
              <w:sz w:val="22"/>
              <w:lang w:val="en-GB"/>
            </w:rPr>
            <w:t>pato_dobrich@patobg.com</w:t>
          </w:r>
        </w:p>
      </w:tc>
      <w:tc>
        <w:tcPr>
          <w:tcW w:w="3501"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Телефон: </w:t>
          </w:r>
          <w:r>
            <w:rPr>
              <w:rStyle w:val="SGDPRPhoneChar"/>
              <w:rFonts w:cs="Times New Roman"/>
              <w:sz w:val="22"/>
              <w:lang w:val="en-GB"/>
            </w:rPr>
            <w:t>058/600720</w:t>
          </w:r>
        </w:p>
      </w:tc>
    </w:tr>
  </w:tbl>
  <w:p>
    <w:pPr>
      <w:pStyle w:val="Style25"/>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6"/>
        <w:rPr/>
      </w:pPr>
      <w:r>
        <w:rPr>
          <w:rStyle w:val="Footnotereference"/>
        </w:rPr>
        <w:footnoteRef/>
        <w:tab/>
      </w:r>
      <w:r>
        <w:rPr/>
        <w:t xml:space="preserve"> </w:t>
      </w:r>
      <w:r>
        <w:rPr>
          <w:lang w:val="bg-BG"/>
        </w:rPr>
        <w:t>Приети от Работната група по член 29 на 04.04.2017 г. По-нататък се реферират за краткост само като „Насоки“.</w:t>
      </w:r>
    </w:p>
  </w:footnote>
  <w:footnote w:id="3">
    <w:p>
      <w:pPr>
        <w:pStyle w:val="Style26"/>
        <w:rPr/>
      </w:pPr>
      <w:r>
        <w:rPr>
          <w:rStyle w:val="Footnotereference"/>
          <w:rFonts w:cs="Arial" w:ascii="Arial" w:hAnsi="Arial"/>
          <w:sz w:val="18"/>
          <w:szCs w:val="18"/>
        </w:rPr>
        <w:footnoteRef/>
        <w:tab/>
      </w:r>
      <w:r>
        <w:rPr>
          <w:rFonts w:cs="Arial" w:ascii="Arial" w:hAnsi="Arial"/>
          <w:sz w:val="18"/>
          <w:szCs w:val="18"/>
          <w:lang w:val="ru-RU"/>
        </w:rPr>
        <w:t xml:space="preserve"> </w:t>
      </w:r>
      <w:r>
        <w:rPr>
          <w:rFonts w:cs="Arial" w:ascii="Arial" w:hAnsi="Arial"/>
          <w:sz w:val="18"/>
          <w:szCs w:val="18"/>
          <w:lang w:val="bg-BG"/>
        </w:rPr>
        <w:t xml:space="preserve">В зависимост от използваната в организацията методология за оценка на въздействието </w:t>
      </w:r>
      <w:r>
        <w:rPr>
          <w:rFonts w:cs="Arial" w:ascii="Arial" w:hAnsi="Arial"/>
          <w:sz w:val="18"/>
          <w:szCs w:val="18"/>
          <w:lang w:val="en-US"/>
        </w:rPr>
        <w:t>(</w:t>
      </w:r>
      <w:r>
        <w:rPr>
          <w:rFonts w:cs="Arial" w:ascii="Arial" w:hAnsi="Arial"/>
          <w:sz w:val="18"/>
          <w:szCs w:val="18"/>
          <w:lang w:val="bg-BG"/>
        </w:rPr>
        <w:t>методология за ОВЗД</w:t>
      </w:r>
      <w:r>
        <w:rPr>
          <w:rFonts w:cs="Arial" w:ascii="Arial" w:hAnsi="Arial"/>
          <w:sz w:val="18"/>
          <w:szCs w:val="18"/>
          <w:lang w:val="en-US"/>
        </w:rPr>
        <w:t>)</w:t>
      </w:r>
      <w:r>
        <w:rPr>
          <w:rFonts w:cs="Arial" w:ascii="Arial" w:hAnsi="Arial"/>
          <w:sz w:val="18"/>
          <w:szCs w:val="18"/>
          <w:lang w:val="bg-BG"/>
        </w:rPr>
        <w:t>.</w:t>
      </w:r>
    </w:p>
  </w:footnote>
  <w:footnote w:id="4">
    <w:p>
      <w:pPr>
        <w:pStyle w:val="Style26"/>
        <w:rPr/>
      </w:pPr>
      <w:r>
        <w:rPr>
          <w:rStyle w:val="Footnotereference"/>
          <w:rFonts w:cs="Arial" w:ascii="Arial" w:hAnsi="Arial"/>
          <w:sz w:val="18"/>
          <w:szCs w:val="18"/>
        </w:rPr>
        <w:footnoteRef/>
        <w:tab/>
      </w:r>
      <w:r>
        <w:rPr>
          <w:rFonts w:cs="Arial" w:ascii="Arial" w:hAnsi="Arial"/>
          <w:sz w:val="18"/>
          <w:szCs w:val="18"/>
        </w:rPr>
        <w:t xml:space="preserve"> </w:t>
      </w:r>
      <w:r>
        <w:rPr>
          <w:rFonts w:cs="Arial" w:ascii="Arial" w:hAnsi="Arial"/>
          <w:sz w:val="18"/>
          <w:szCs w:val="18"/>
          <w:lang w:val="bg-BG"/>
        </w:rPr>
        <w:t>Общият регламент за защита на данните и Насоките разглеждат ОВЗД изцяло в контекста на общото задължение на администраторите да управляват по подходящ начин рисковете, породени от обработването на данни. С оглед на това, методологията за оценка на риска е неразделна част от методологията за ОВЗД.</w:t>
      </w:r>
    </w:p>
  </w:footnote>
  <w:footnote w:id="5">
    <w:p>
      <w:pPr>
        <w:pStyle w:val="Style26"/>
        <w:rPr/>
      </w:pPr>
      <w:r>
        <w:rPr>
          <w:rStyle w:val="Footnotereference"/>
          <w:rFonts w:cs="Arial" w:ascii="Arial" w:hAnsi="Arial"/>
          <w:sz w:val="18"/>
          <w:szCs w:val="18"/>
        </w:rPr>
        <w:footnoteRef/>
        <w:tab/>
      </w:r>
      <w:r>
        <w:rPr>
          <w:rFonts w:cs="Arial" w:ascii="Arial" w:hAnsi="Arial"/>
          <w:sz w:val="18"/>
          <w:szCs w:val="18"/>
        </w:rPr>
        <w:t xml:space="preserve"> </w:t>
      </w:r>
      <w:r>
        <w:rPr>
          <w:rFonts w:cs="Arial" w:ascii="Arial" w:hAnsi="Arial"/>
          <w:sz w:val="18"/>
          <w:szCs w:val="18"/>
          <w:lang w:val="bg-BG"/>
        </w:rPr>
        <w:t xml:space="preserve">Наредба № 1 от 30.01.2013 г. за минималното ниво на технически и организационни мерки и допустимия вид защита на личните данни, издадена от КЗЛД, обн., ДВ, бр. 14 от 12.02.2013 г. </w:t>
      </w:r>
    </w:p>
  </w:footnote>
  <w:footnote w:id="6">
    <w:p>
      <w:pPr>
        <w:pStyle w:val="Style26"/>
        <w:rPr/>
      </w:pPr>
      <w:r>
        <w:rPr>
          <w:rStyle w:val="Footnotereference"/>
          <w:rFonts w:cs="Arial" w:ascii="Arial" w:hAnsi="Arial"/>
          <w:sz w:val="18"/>
        </w:rPr>
        <w:footnoteRef/>
        <w:tab/>
      </w:r>
      <w:r>
        <w:rPr>
          <w:rFonts w:cs="Arial" w:ascii="Arial" w:hAnsi="Arial"/>
          <w:sz w:val="18"/>
        </w:rPr>
        <w:t xml:space="preserve"> </w:t>
      </w:r>
      <w:r>
        <w:rPr>
          <w:rFonts w:cs="Arial" w:ascii="Arial" w:hAnsi="Arial"/>
          <w:sz w:val="18"/>
          <w:lang w:val="bg-BG"/>
        </w:rPr>
        <w:t>В Насоките да дадени примери за начина на използване на критериите, за да се оцени дали конкретна операция по обработване изисква ОВЗД.</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5" w:type="dxa"/>
      <w:tblCellMar>
        <w:top w:w="0" w:type="dxa"/>
        <w:left w:w="103" w:type="dxa"/>
        <w:bottom w:w="0" w:type="dxa"/>
        <w:right w:w="108" w:type="dxa"/>
      </w:tblCellMar>
    </w:tblPr>
    <w:tblGrid>
      <w:gridCol w:w="1526"/>
      <w:gridCol w:w="3146"/>
      <w:gridCol w:w="1956"/>
      <w:gridCol w:w="3005"/>
    </w:tblGrid>
    <w:tr>
      <w:trPr/>
      <w:tc>
        <w:tcPr>
          <w:tcW w:w="1526" w:type="dxa"/>
          <w:tcBorders/>
          <w:shd w:color="auto" w:fill="F2F2F2" w:themeFill="background1" w:themeFillShade="f2" w:val="clear"/>
          <w:tcMar>
            <w:left w:w="103" w:type="dxa"/>
          </w:tcMar>
        </w:tcPr>
        <w:p>
          <w:pPr>
            <w:pStyle w:val="Normal"/>
            <w:spacing w:lineRule="auto" w:line="240" w:before="0" w:after="0"/>
            <w:jc w:val="center"/>
            <w:rPr>
              <w:lang w:val="en-GB"/>
            </w:rPr>
          </w:pPr>
          <w:r>
            <w:rPr>
              <w:lang w:val="en-GB"/>
            </w:rPr>
            <w:drawing>
              <wp:inline distT="0" distB="0" distL="0" distR="0">
                <wp:extent cx="709930" cy="627380"/>
                <wp:effectExtent l="0" t="0" r="0" b="0"/>
                <wp:docPr id="2"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descr=""/>
                        <pic:cNvPicPr>
                          <a:picLocks noChangeAspect="1" noChangeArrowheads="1"/>
                        </pic:cNvPicPr>
                      </pic:nvPicPr>
                      <pic:blipFill>
                        <a:blip r:embed="rId1"/>
                        <a:stretch>
                          <a:fillRect/>
                        </a:stretch>
                      </pic:blipFill>
                      <pic:spPr bwMode="auto">
                        <a:xfrm>
                          <a:off x="0" y="0"/>
                          <a:ext cx="709930" cy="627380"/>
                        </a:xfrm>
                        <a:prstGeom prst="rect">
                          <a:avLst/>
                        </a:prstGeom>
                      </pic:spPr>
                    </pic:pic>
                  </a:graphicData>
                </a:graphic>
              </wp:inline>
            </w:drawing>
          </w:r>
        </w:p>
      </w:tc>
      <w:tc>
        <w:tcPr>
          <w:tcW w:w="8107" w:type="dxa"/>
          <w:gridSpan w:val="3"/>
          <w:tcBorders/>
          <w:shd w:color="auto" w:fill="F2F2F2" w:themeFill="background1" w:themeFillShade="f2" w:val="clear"/>
          <w:tcMar>
            <w:left w:w="103" w:type="dxa"/>
          </w:tcMar>
        </w:tcPr>
        <w:p>
          <w:pPr>
            <w:pStyle w:val="Style24"/>
            <w:spacing w:lineRule="auto" w:line="240" w:before="40" w:after="0"/>
            <w:jc w:val="center"/>
            <w:rPr/>
          </w:pPr>
          <w:r>
            <w:rPr>
              <w:rFonts w:cs="Times New Roman" w:ascii="Times New Roman" w:hAnsi="Times New Roman"/>
              <w:b/>
              <w:sz w:val="24"/>
              <w:szCs w:val="28"/>
              <w:lang w:val="bg-BG"/>
            </w:rPr>
            <w:t xml:space="preserve">ПРОЦЕДУРА </w:t>
          </w:r>
        </w:p>
        <w:p>
          <w:pPr>
            <w:pStyle w:val="Style24"/>
            <w:spacing w:lineRule="auto" w:line="240" w:before="40" w:after="0"/>
            <w:jc w:val="center"/>
            <w:rPr/>
          </w:pPr>
          <w:r>
            <w:rPr>
              <w:rFonts w:cs="Times New Roman" w:ascii="Times New Roman" w:hAnsi="Times New Roman"/>
              <w:b/>
              <w:sz w:val="24"/>
              <w:szCs w:val="28"/>
              <w:lang w:val="bg-BG"/>
            </w:rPr>
            <w:t xml:space="preserve">ЗА ОЦЕНКА НА ВЪЗДЕЙСТВИЕТО </w:t>
          </w:r>
        </w:p>
        <w:p>
          <w:pPr>
            <w:pStyle w:val="Style24"/>
            <w:spacing w:lineRule="auto" w:line="240" w:before="40" w:after="0"/>
            <w:jc w:val="center"/>
            <w:rPr>
              <w:rFonts w:cs="Times New Roman"/>
              <w:b/>
              <w:b/>
              <w:lang w:val="bg-BG"/>
            </w:rPr>
          </w:pPr>
          <w:r>
            <w:rPr>
              <w:rFonts w:cs="Times New Roman" w:ascii="Times New Roman" w:hAnsi="Times New Roman"/>
              <w:b/>
              <w:sz w:val="24"/>
              <w:szCs w:val="28"/>
              <w:lang w:val="bg-BG"/>
            </w:rPr>
            <w:t>ВЪРХУ ЗАЩИТАТА НА ДАННИТЕ</w:t>
          </w:r>
        </w:p>
        <w:p>
          <w:pPr>
            <w:pStyle w:val="Style24"/>
            <w:spacing w:lineRule="auto" w:line="240" w:before="0" w:after="0"/>
            <w:jc w:val="center"/>
            <w:rPr>
              <w:rFonts w:ascii="Calibri" w:hAnsi="Calibri" w:eastAsia="Calibri" w:cs="Times New Roman" w:asciiTheme="minorHAnsi" w:eastAsiaTheme="minorHAnsi" w:hAnsiTheme="minorHAnsi"/>
              <w:b/>
              <w:b/>
              <w:sz w:val="22"/>
              <w:szCs w:val="22"/>
              <w:lang w:val="bg-BG" w:eastAsia="en-US" w:bidi="ar-SA"/>
            </w:rPr>
          </w:pPr>
          <w:r>
            <w:rPr>
              <w:rFonts w:eastAsia="Calibri" w:cs="Times New Roman" w:eastAsiaTheme="minorHAnsi"/>
              <w:b/>
              <w:sz w:val="22"/>
              <w:szCs w:val="22"/>
              <w:lang w:val="bg-BG" w:eastAsia="en-US" w:bidi="ar-SA"/>
            </w:rPr>
          </w:r>
        </w:p>
      </w:tc>
    </w:tr>
    <w:tr>
      <w:trPr>
        <w:trHeight w:val="320" w:hRule="atLeast"/>
      </w:trPr>
      <w:tc>
        <w:tcPr>
          <w:tcW w:w="1526" w:type="dxa"/>
          <w:tcBorders/>
          <w:shd w:color="auto" w:fill="F2F2F2" w:themeFill="background1" w:themeFillShade="f2" w:val="clear"/>
          <w:tcMar>
            <w:left w:w="103" w:type="dxa"/>
          </w:tcMar>
        </w:tcPr>
        <w:p>
          <w:pPr>
            <w:pStyle w:val="Normal"/>
            <w:spacing w:lineRule="auto" w:line="240" w:before="20" w:after="0"/>
            <w:rPr>
              <w:rFonts w:cs="Times New Roman"/>
              <w:b/>
              <w:b/>
              <w:sz w:val="22"/>
              <w:szCs w:val="22"/>
              <w:lang w:val="bg-BG"/>
            </w:rPr>
          </w:pPr>
          <w:r>
            <w:rPr>
              <w:rFonts w:cs="Times New Roman"/>
              <w:b/>
              <w:sz w:val="22"/>
              <w:szCs w:val="22"/>
              <w:lang w:val="bg-BG"/>
            </w:rPr>
            <w:t>GDPR</w:t>
          </w:r>
        </w:p>
      </w:tc>
      <w:tc>
        <w:tcPr>
          <w:tcW w:w="3146" w:type="dxa"/>
          <w:tcBorders/>
          <w:shd w:color="auto" w:fill="F2F2F2" w:themeFill="background1" w:themeFillShade="f2" w:val="clear"/>
          <w:tcMar>
            <w:left w:w="103" w:type="dxa"/>
          </w:tcMar>
        </w:tcPr>
        <w:p>
          <w:pPr>
            <w:pStyle w:val="Normal"/>
            <w:spacing w:lineRule="auto" w:line="240" w:before="20" w:after="0"/>
            <w:rPr>
              <w:rFonts w:cs="Times New Roman"/>
              <w:sz w:val="22"/>
              <w:szCs w:val="22"/>
              <w:lang w:val="bg-BG"/>
            </w:rPr>
          </w:pPr>
          <w:r>
            <w:rPr>
              <w:rFonts w:cs="Times New Roman"/>
              <w:sz w:val="22"/>
              <w:szCs w:val="22"/>
              <w:lang w:val="bg-BG"/>
            </w:rPr>
            <w:t xml:space="preserve">Идент. №  </w:t>
          </w:r>
          <w:r>
            <w:rPr>
              <w:rFonts w:cs="Times New Roman"/>
              <w:b/>
              <w:sz w:val="22"/>
              <w:szCs w:val="22"/>
              <w:lang w:val="bg-BG"/>
            </w:rPr>
            <w:t>PROC_0</w:t>
          </w:r>
          <w:r>
            <w:rPr>
              <w:rFonts w:cs="Times New Roman"/>
              <w:b/>
              <w:sz w:val="22"/>
              <w:szCs w:val="22"/>
              <w:lang w:val="en-US"/>
            </w:rPr>
            <w:t>9</w:t>
          </w:r>
          <w:r>
            <w:rPr>
              <w:rFonts w:cs="Times New Roman"/>
              <w:sz w:val="22"/>
              <w:szCs w:val="22"/>
              <w:lang w:val="bg-BG"/>
            </w:rPr>
            <w:t xml:space="preserve"> </w:t>
          </w:r>
        </w:p>
      </w:tc>
      <w:tc>
        <w:tcPr>
          <w:tcW w:w="1956" w:type="dxa"/>
          <w:tcBorders/>
          <w:shd w:color="auto" w:fill="F2F2F2" w:themeFill="background1" w:themeFillShade="f2" w:val="clear"/>
          <w:tcMar>
            <w:left w:w="103" w:type="dxa"/>
          </w:tcMar>
        </w:tcPr>
        <w:p>
          <w:pPr>
            <w:pStyle w:val="Normal"/>
            <w:spacing w:lineRule="auto" w:line="240" w:before="20" w:after="0"/>
            <w:rPr>
              <w:rFonts w:cs="Times New Roman"/>
              <w:sz w:val="22"/>
              <w:szCs w:val="22"/>
              <w:lang w:val="bg-BG"/>
            </w:rPr>
          </w:pPr>
          <w:r>
            <w:rPr>
              <w:rFonts w:cs="Times New Roman"/>
              <w:sz w:val="22"/>
              <w:szCs w:val="22"/>
              <w:lang w:val="en-GB"/>
            </w:rPr>
            <w:t xml:space="preserve">Версия    </w:t>
          </w:r>
          <w:r>
            <w:rPr>
              <w:rFonts w:cs="Times New Roman"/>
              <w:b/>
              <w:sz w:val="22"/>
              <w:szCs w:val="22"/>
              <w:lang w:val="en-GB"/>
            </w:rPr>
            <w:t>0.1</w:t>
          </w:r>
        </w:p>
      </w:tc>
      <w:tc>
        <w:tcPr>
          <w:tcW w:w="3005" w:type="dxa"/>
          <w:tcBorders/>
          <w:shd w:color="auto" w:fill="F2F2F2" w:themeFill="background1" w:themeFillShade="f2" w:val="clear"/>
          <w:tcMar>
            <w:left w:w="103" w:type="dxa"/>
          </w:tcMar>
        </w:tcPr>
        <w:sdt>
          <w:sdtPr>
            <w:docPartObj>
              <w:docPartGallery w:val="Page Numbers (Top of Page)"/>
              <w:docPartUnique w:val="true"/>
            </w:docPartObj>
          </w:sdtPr>
          <w:sdtContent>
            <w:p>
              <w:pPr>
                <w:pStyle w:val="Style24"/>
                <w:tabs>
                  <w:tab w:val="left" w:pos="2197" w:leader="none"/>
                  <w:tab w:val="left" w:pos="2338" w:leader="none"/>
                  <w:tab w:val="left" w:pos="2480" w:leader="none"/>
                  <w:tab w:val="center" w:pos="4536" w:leader="none"/>
                  <w:tab w:val="right" w:pos="9072" w:leader="none"/>
                </w:tabs>
                <w:spacing w:lineRule="auto" w:line="240" w:before="20" w:after="0"/>
                <w:ind w:left="-213" w:right="-113" w:firstLine="213"/>
                <w:jc w:val="center"/>
                <w:rPr/>
              </w:pPr>
              <w:r>
                <w:rPr>
                  <w:rFonts w:cs="Times New Roman"/>
                  <w:lang w:val="en-GB"/>
                </w:rPr>
                <w:t xml:space="preserve">Стр. </w:t>
              </w:r>
              <w:r>
                <w:rPr>
                  <w:rFonts w:cs="Times New Roman"/>
                  <w:lang w:val="en-GB"/>
                </w:rPr>
                <w:fldChar w:fldCharType="begin"/>
              </w:r>
              <w:r>
                <w:instrText> PAGE </w:instrText>
              </w:r>
              <w:r>
                <w:fldChar w:fldCharType="separate"/>
              </w:r>
              <w:r>
                <w:t>6</w:t>
              </w:r>
              <w:r>
                <w:fldChar w:fldCharType="end"/>
              </w:r>
              <w:r>
                <w:rPr>
                  <w:rFonts w:cs="Times New Roman"/>
                  <w:bCs/>
                  <w:lang w:val="en-GB"/>
                </w:rPr>
                <w:t xml:space="preserve"> </w:t>
              </w:r>
              <w:r>
                <w:rPr>
                  <w:rFonts w:cs="Times New Roman"/>
                  <w:lang w:val="en-GB"/>
                </w:rPr>
                <w:t xml:space="preserve">от </w:t>
              </w:r>
              <w:r>
                <w:rPr>
                  <w:rFonts w:cs="Times New Roman"/>
                  <w:lang w:val="en-GB"/>
                </w:rPr>
                <w:fldChar w:fldCharType="begin"/>
              </w:r>
              <w:r>
                <w:instrText> NUMPAGES </w:instrText>
              </w:r>
              <w:r>
                <w:fldChar w:fldCharType="separate"/>
              </w:r>
              <w:r>
                <w:t>6</w:t>
              </w:r>
              <w:r>
                <w:fldChar w:fldCharType="end"/>
              </w:r>
              <w:r>
                <w:rPr>
                  <w:rFonts w:cs="Times New Roman"/>
                  <w:b/>
                  <w:bCs/>
                  <w:lang w:val="en-GB"/>
                </w:rPr>
                <w:t xml:space="preserve"> </w:t>
              </w:r>
            </w:p>
          </w:sdtContent>
        </w:sdt>
      </w:tc>
    </w:tr>
    <w:tr>
      <w:trPr>
        <w:trHeight w:val="337" w:hRule="atLeast"/>
      </w:trPr>
      <w:tc>
        <w:tcPr>
          <w:tcW w:w="4672" w:type="dxa"/>
          <w:gridSpan w:val="2"/>
          <w:tcBorders/>
          <w:shd w:color="auto" w:fill="F2F2F2" w:themeFill="background1" w:themeFillShade="f2" w:val="clear"/>
          <w:tcMar>
            <w:left w:w="103" w:type="dxa"/>
          </w:tcMar>
        </w:tcPr>
        <w:p>
          <w:pPr>
            <w:pStyle w:val="Normal"/>
            <w:spacing w:lineRule="auto" w:line="240" w:before="20" w:after="0"/>
            <w:rPr/>
          </w:pPr>
          <w:r>
            <w:rPr>
              <w:rFonts w:cs="Times New Roman"/>
              <w:sz w:val="22"/>
              <w:szCs w:val="22"/>
              <w:lang w:val="en-GB"/>
            </w:rPr>
            <w:t xml:space="preserve">Администратор: </w:t>
          </w:r>
          <w:r>
            <w:rPr>
              <w:rStyle w:val="SGDPRAdministratorNameChar"/>
              <w:rFonts w:cs="Times New Roman"/>
              <w:sz w:val="22"/>
              <w:szCs w:val="22"/>
              <w:lang w:val="en-GB"/>
            </w:rPr>
            <w:t xml:space="preserve"> ПАТО ЕООД</w:t>
          </w:r>
        </w:p>
        <w:p>
          <w:pPr>
            <w:pStyle w:val="Normal"/>
            <w:spacing w:lineRule="auto" w:line="240" w:before="20" w:after="0"/>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c>
        <w:tcPr>
          <w:tcW w:w="4961" w:type="dxa"/>
          <w:gridSpan w:val="2"/>
          <w:tcBorders/>
          <w:shd w:color="auto" w:fill="F2F2F2" w:themeFill="background1" w:themeFillShade="f2" w:val="clear"/>
          <w:tcMar>
            <w:left w:w="103" w:type="dxa"/>
          </w:tcMar>
        </w:tcPr>
        <w:p>
          <w:pPr>
            <w:pStyle w:val="Normal"/>
            <w:spacing w:lineRule="auto" w:line="240" w:before="20" w:after="0"/>
            <w:rPr/>
          </w:pPr>
          <w:r>
            <w:rPr>
              <w:rFonts w:cs="Times New Roman"/>
              <w:sz w:val="22"/>
              <w:szCs w:val="22"/>
              <w:lang w:val="en-GB"/>
            </w:rPr>
            <w:t xml:space="preserve">ДЛЗД/Отговорник: </w:t>
          </w:r>
          <w:r>
            <w:rPr>
              <w:rStyle w:val="SGDPRPersonResposibleNameChar"/>
              <w:rFonts w:cs="Times New Roman"/>
              <w:sz w:val="22"/>
              <w:szCs w:val="22"/>
              <w:lang w:val="bg-BG"/>
            </w:rPr>
            <w:t>В. КАЛЧЕВА</w:t>
          </w:r>
        </w:p>
        <w:p>
          <w:pPr>
            <w:pStyle w:val="Normal"/>
            <w:spacing w:lineRule="auto" w:line="240" w:before="0" w:after="0"/>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r>
  </w:tbl>
  <w:p>
    <w:pPr>
      <w:pStyle w:val="Style24"/>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ind w:left="36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fals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bg-BG"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bg-BG" w:eastAsia="en-US" w:bidi="ar-SA"/>
      </w:rPr>
    </w:rPrDefault>
    <w:pPrDefault>
      <w:pPr>
        <w:spacing w:lineRule="auto" w:line="254"/>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e122b"/>
    <w:pPr>
      <w:widowControl w:val="false"/>
      <w:suppressAutoHyphens w:val="true"/>
      <w:bidi w:val="0"/>
      <w:spacing w:lineRule="auto" w:line="240" w:before="0" w:after="0"/>
      <w:jc w:val="left"/>
    </w:pPr>
    <w:rPr>
      <w:rFonts w:ascii="Times New Roman" w:hAnsi="Times New Roman" w:eastAsia="SimSun" w:cs="Mangal"/>
      <w:color w:val="00000A"/>
      <w:sz w:val="24"/>
      <w:szCs w:val="24"/>
      <w:lang w:val="bg-BG" w:eastAsia="hi-IN" w:bidi="hi-IN"/>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ee122b"/>
    <w:rPr/>
  </w:style>
  <w:style w:type="character" w:styleId="FooterChar" w:customStyle="1">
    <w:name w:val="Footer Char"/>
    <w:basedOn w:val="DefaultParagraphFont"/>
    <w:link w:val="Footer"/>
    <w:uiPriority w:val="99"/>
    <w:qFormat/>
    <w:rsid w:val="00ee122b"/>
    <w:rPr/>
  </w:style>
  <w:style w:type="character" w:styleId="SGDPRAdministratorNameChar" w:customStyle="1">
    <w:name w:val="S_GDPR_AdministratorName Char"/>
    <w:basedOn w:val="DefaultParagraphFont"/>
    <w:link w:val="SGDPRAdministratorName"/>
    <w:qFormat/>
    <w:rsid w:val="00ee122b"/>
    <w:rPr>
      <w:rFonts w:eastAsia="SimSun" w:cs="Mangal"/>
      <w:color w:val="A6A6A6"/>
      <w:szCs w:val="24"/>
      <w:lang w:eastAsia="hi-IN" w:bidi="hi-IN"/>
    </w:rPr>
  </w:style>
  <w:style w:type="character" w:styleId="SGDPRFirmSignChar" w:customStyle="1">
    <w:name w:val="S_GDPR_FirmSign Char"/>
    <w:basedOn w:val="DefaultParagraphFont"/>
    <w:link w:val="SGDPRFirmSign"/>
    <w:qFormat/>
    <w:rsid w:val="00ee122b"/>
    <w:rPr>
      <w:rFonts w:eastAsia="Times New Roman" w:cs="Times New Roman"/>
      <w:color w:val="A6A6A6"/>
      <w:szCs w:val="24"/>
    </w:rPr>
  </w:style>
  <w:style w:type="character" w:styleId="SGDPRPersonResposibleNameChar" w:customStyle="1">
    <w:name w:val="S_GDPR_PersonResposibleName Char"/>
    <w:basedOn w:val="DefaultParagraphFont"/>
    <w:link w:val="SGDPRPersonResposibleName"/>
    <w:qFormat/>
    <w:rsid w:val="00ee122b"/>
    <w:rPr>
      <w:rFonts w:eastAsia="SimSun" w:cs="Mangal"/>
      <w:color w:val="A6A6A6"/>
      <w:szCs w:val="24"/>
      <w:lang w:eastAsia="hi-IN" w:bidi="hi-IN"/>
    </w:rPr>
  </w:style>
  <w:style w:type="character" w:styleId="SGDPREmailChar" w:customStyle="1">
    <w:name w:val="S_GDPR_Email Char"/>
    <w:basedOn w:val="DefaultParagraphFont"/>
    <w:link w:val="SGDPREmail"/>
    <w:qFormat/>
    <w:rsid w:val="00ee122b"/>
    <w:rPr>
      <w:rFonts w:eastAsia="SimSun" w:cs="Mangal"/>
      <w:color w:val="A6A6A6"/>
      <w:szCs w:val="24"/>
      <w:lang w:eastAsia="hi-IN" w:bidi="hi-IN"/>
    </w:rPr>
  </w:style>
  <w:style w:type="character" w:styleId="SGDPRPhoneChar" w:customStyle="1">
    <w:name w:val="S_GDPR_Phone Char"/>
    <w:basedOn w:val="DefaultParagraphFont"/>
    <w:link w:val="SGDPRPhone"/>
    <w:qFormat/>
    <w:rsid w:val="00ee122b"/>
    <w:rPr>
      <w:rFonts w:eastAsia="SimSun" w:cs="Mangal"/>
      <w:color w:val="A6A6A6"/>
      <w:szCs w:val="24"/>
      <w:lang w:eastAsia="hi-IN" w:bidi="hi-IN"/>
    </w:rPr>
  </w:style>
  <w:style w:type="character" w:styleId="SGDPRWebsiteChar" w:customStyle="1">
    <w:name w:val="S_GDPR_Website Char"/>
    <w:basedOn w:val="DefaultParagraphFont"/>
    <w:link w:val="SGDPRWebsite"/>
    <w:qFormat/>
    <w:rsid w:val="00ee122b"/>
    <w:rPr>
      <w:rFonts w:eastAsia="SimSun" w:cs="Mangal"/>
      <w:color w:val="A6A6A6"/>
      <w:szCs w:val="24"/>
      <w:lang w:eastAsia="hi-IN" w:bidi="hi-IN"/>
    </w:rPr>
  </w:style>
  <w:style w:type="character" w:styleId="SGDPRRegister1Char" w:customStyle="1">
    <w:name w:val="S_GDPR_Register1 Char"/>
    <w:basedOn w:val="DefaultParagraphFont"/>
    <w:link w:val="SGDPRRegister1"/>
    <w:qFormat/>
    <w:rsid w:val="00900965"/>
    <w:rPr>
      <w:rFonts w:ascii="Arial" w:hAnsi="Arial" w:eastAsia="SimSun" w:cs="Arial"/>
      <w:color w:val="A6A6A6" w:themeColor="background1" w:themeShade="a6"/>
      <w:lang w:eastAsia="hi-IN" w:bidi="hi-IN"/>
    </w:rPr>
  </w:style>
  <w:style w:type="character" w:styleId="SGDPRRegister2Char" w:customStyle="1">
    <w:name w:val="S_GDPR_Register2 Char"/>
    <w:basedOn w:val="SGDPRRegister1Char"/>
    <w:link w:val="SGDPRRegister2"/>
    <w:qFormat/>
    <w:rsid w:val="00900965"/>
    <w:rPr>
      <w:rFonts w:ascii="Arial" w:hAnsi="Arial" w:eastAsia="SimSun" w:cs="Arial"/>
      <w:color w:val="A6A6A6" w:themeColor="background1" w:themeShade="a6"/>
      <w:lang w:eastAsia="hi-IN" w:bidi="hi-IN"/>
    </w:rPr>
  </w:style>
  <w:style w:type="character" w:styleId="Style14">
    <w:name w:val="Връзка към Интернет"/>
    <w:rsid w:val="001811ba"/>
    <w:rPr>
      <w:color w:val="0000FF"/>
      <w:u w:val="single"/>
      <w:lang w:val="zxx" w:eastAsia="zxx" w:bidi="zxx"/>
    </w:rPr>
  </w:style>
  <w:style w:type="character" w:styleId="FootnoteTextChar" w:customStyle="1">
    <w:name w:val="Footnote Text Char"/>
    <w:basedOn w:val="DefaultParagraphFont"/>
    <w:link w:val="FootnoteText"/>
    <w:uiPriority w:val="99"/>
    <w:semiHidden/>
    <w:qFormat/>
    <w:rsid w:val="001811ba"/>
    <w:rPr>
      <w:sz w:val="20"/>
      <w:szCs w:val="20"/>
      <w:lang w:val="en-GB"/>
    </w:rPr>
  </w:style>
  <w:style w:type="character" w:styleId="Footnotereference">
    <w:name w:val="footnote reference"/>
    <w:basedOn w:val="DefaultParagraphFont"/>
    <w:uiPriority w:val="99"/>
    <w:semiHidden/>
    <w:unhideWhenUsed/>
    <w:qFormat/>
    <w:rsid w:val="001811ba"/>
    <w:rPr>
      <w:vertAlign w:val="superscript"/>
    </w:rPr>
  </w:style>
  <w:style w:type="character" w:styleId="FollowedHyperlink">
    <w:name w:val="FollowedHyperlink"/>
    <w:basedOn w:val="DefaultParagraphFont"/>
    <w:uiPriority w:val="99"/>
    <w:semiHidden/>
    <w:unhideWhenUsed/>
    <w:qFormat/>
    <w:rsid w:val="00071337"/>
    <w:rPr>
      <w:color w:val="954F72" w:themeColor="followedHyperlink"/>
      <w:u w:val="single"/>
    </w:rPr>
  </w:style>
  <w:style w:type="character" w:styleId="ListLabel1">
    <w:name w:val="ListLabel 1"/>
    <w:qFormat/>
    <w:rPr>
      <w:rFonts w:cs="Courier New"/>
    </w:rPr>
  </w:style>
  <w:style w:type="character" w:styleId="Style15">
    <w:name w:val="Знаци за бележки под линия"/>
    <w:qFormat/>
    <w:rPr/>
  </w:style>
  <w:style w:type="character" w:styleId="Style16">
    <w:name w:val="Котва на бележка под линия"/>
    <w:rPr>
      <w:vertAlign w:val="superscript"/>
    </w:rPr>
  </w:style>
  <w:style w:type="character" w:styleId="Style17">
    <w:name w:val="Котва на бележка в края"/>
    <w:rPr>
      <w:vertAlign w:val="superscript"/>
    </w:rPr>
  </w:style>
  <w:style w:type="character" w:styleId="Style18">
    <w:name w:val="Знаци за бележки в края"/>
    <w:qFormat/>
    <w:rPr/>
  </w:style>
  <w:style w:type="character" w:styleId="ListLabel2">
    <w:name w:val="ListLabel 2"/>
    <w:qFormat/>
    <w:rPr>
      <w:rFonts w:ascii="Arial" w:hAnsi="Arial" w:cs="Symbol"/>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ascii="Arial" w:hAnsi="Arial"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ascii="Arial" w:hAnsi="Arial"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paragraph" w:styleId="Style19">
    <w:name w:val="Заглавие"/>
    <w:basedOn w:val="Normal"/>
    <w:next w:val="Style20"/>
    <w:qFormat/>
    <w:pPr>
      <w:keepNext/>
      <w:spacing w:before="240" w:after="120"/>
    </w:pPr>
    <w:rPr>
      <w:rFonts w:ascii="Liberation Sans" w:hAnsi="Liberation Sans" w:eastAsia="Arial Unicode MS" w:cs="Arial Unicode MS"/>
      <w:sz w:val="28"/>
      <w:szCs w:val="28"/>
    </w:rPr>
  </w:style>
  <w:style w:type="paragraph" w:styleId="Style20">
    <w:name w:val="Основен текст"/>
    <w:basedOn w:val="Normal"/>
    <w:pPr>
      <w:spacing w:lineRule="auto" w:line="288" w:before="0" w:after="140"/>
    </w:pPr>
    <w:rPr/>
  </w:style>
  <w:style w:type="paragraph" w:styleId="Style21">
    <w:name w:val="Списък"/>
    <w:basedOn w:val="Style20"/>
    <w:pPr/>
    <w:rPr/>
  </w:style>
  <w:style w:type="paragraph" w:styleId="Style22">
    <w:name w:val="Надпис"/>
    <w:basedOn w:val="Normal"/>
    <w:pPr>
      <w:suppressLineNumbers/>
      <w:spacing w:before="120" w:after="120"/>
    </w:pPr>
    <w:rPr>
      <w:i/>
      <w:iCs/>
      <w:sz w:val="24"/>
      <w:szCs w:val="24"/>
    </w:rPr>
  </w:style>
  <w:style w:type="paragraph" w:styleId="Style23">
    <w:name w:val="Указател"/>
    <w:basedOn w:val="Normal"/>
    <w:qFormat/>
    <w:pPr>
      <w:suppressLineNumbers/>
    </w:pPr>
    <w:rPr/>
  </w:style>
  <w:style w:type="paragraph" w:styleId="Style24">
    <w:name w:val="Горен колонтитул"/>
    <w:basedOn w:val="Normal"/>
    <w:link w:val="Head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tyle25">
    <w:name w:val="Долен колонтитул"/>
    <w:basedOn w:val="Normal"/>
    <w:link w:val="Foot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GDPRFirmSign" w:customStyle="1">
    <w:name w:val="S_GDPR_FirmSign"/>
    <w:basedOn w:val="Normal"/>
    <w:link w:val="SGDPRFirmSignChar"/>
    <w:qFormat/>
    <w:rsid w:val="00ee122b"/>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alibri" w:hAnsi="Calibri" w:eastAsia="Times New Roman" w:cs="Times New Roman" w:asciiTheme="minorHAnsi" w:hAnsiTheme="minorHAnsi"/>
      <w:color w:val="A6A6A6"/>
      <w:sz w:val="22"/>
      <w:lang w:eastAsia="en-US" w:bidi="ar-SA"/>
    </w:rPr>
  </w:style>
  <w:style w:type="paragraph" w:styleId="SGDPRAdministratorName" w:customStyle="1">
    <w:name w:val="S_GDPR_AdministratorName"/>
    <w:basedOn w:val="Normal"/>
    <w:link w:val="SGDPRAdministratorNameChar"/>
    <w:qFormat/>
    <w:rsid w:val="00ee122b"/>
    <w:pPr/>
    <w:rPr>
      <w:rFonts w:ascii="Calibri" w:hAnsi="Calibri" w:asciiTheme="minorHAnsi" w:hAnsiTheme="minorHAnsi"/>
      <w:color w:val="A6A6A6"/>
      <w:sz w:val="22"/>
    </w:rPr>
  </w:style>
  <w:style w:type="paragraph" w:styleId="SGDPRPersonResposibleName" w:customStyle="1">
    <w:name w:val="S_GDPR_PersonResposibleName"/>
    <w:basedOn w:val="Normal"/>
    <w:link w:val="SGDPRPersonResposibleNameChar"/>
    <w:qFormat/>
    <w:rsid w:val="00ee122b"/>
    <w:pPr/>
    <w:rPr>
      <w:rFonts w:ascii="Calibri" w:hAnsi="Calibri" w:asciiTheme="minorHAnsi" w:hAnsiTheme="minorHAnsi"/>
      <w:color w:val="A6A6A6"/>
      <w:sz w:val="22"/>
    </w:rPr>
  </w:style>
  <w:style w:type="paragraph" w:styleId="Tabletext" w:customStyle="1">
    <w:name w:val="Tabletext"/>
    <w:basedOn w:val="Normal"/>
    <w:qFormat/>
    <w:rsid w:val="00ee122b"/>
    <w:pPr>
      <w:keepLines/>
      <w:suppressAutoHyphens w:val="false"/>
      <w:spacing w:lineRule="atLeast" w:line="240" w:before="0" w:after="120"/>
      <w:jc w:val="both"/>
    </w:pPr>
    <w:rPr>
      <w:rFonts w:eastAsia="Times New Roman" w:cs="Times New Roman"/>
      <w:color w:val="000000"/>
      <w:sz w:val="20"/>
      <w:szCs w:val="20"/>
      <w:lang w:val="en-US" w:eastAsia="ar-SA" w:bidi="ar-SA"/>
    </w:rPr>
  </w:style>
  <w:style w:type="paragraph" w:styleId="SGDPRWebsite" w:customStyle="1">
    <w:name w:val="S_GDPR_Website"/>
    <w:basedOn w:val="Normal"/>
    <w:link w:val="SGDPRWebsiteChar"/>
    <w:qFormat/>
    <w:rsid w:val="00ee122b"/>
    <w:pPr/>
    <w:rPr>
      <w:rFonts w:ascii="Calibri" w:hAnsi="Calibri" w:asciiTheme="minorHAnsi" w:hAnsiTheme="minorHAnsi"/>
      <w:color w:val="A6A6A6"/>
      <w:sz w:val="22"/>
    </w:rPr>
  </w:style>
  <w:style w:type="paragraph" w:styleId="SGDPREmail" w:customStyle="1">
    <w:name w:val="S_GDPR_Email"/>
    <w:basedOn w:val="Normal"/>
    <w:link w:val="SGDPREmailChar"/>
    <w:qFormat/>
    <w:rsid w:val="00ee122b"/>
    <w:pPr/>
    <w:rPr>
      <w:rFonts w:ascii="Calibri" w:hAnsi="Calibri" w:asciiTheme="minorHAnsi" w:hAnsiTheme="minorHAnsi"/>
      <w:color w:val="A6A6A6"/>
      <w:sz w:val="22"/>
    </w:rPr>
  </w:style>
  <w:style w:type="paragraph" w:styleId="SGDPRPhone" w:customStyle="1">
    <w:name w:val="S_GDPR_Phone"/>
    <w:basedOn w:val="Normal"/>
    <w:link w:val="SGDPRPhoneChar"/>
    <w:qFormat/>
    <w:rsid w:val="00ee122b"/>
    <w:pPr/>
    <w:rPr>
      <w:rFonts w:ascii="Calibri" w:hAnsi="Calibri" w:asciiTheme="minorHAnsi" w:hAnsiTheme="minorHAnsi"/>
      <w:color w:val="A6A6A6"/>
      <w:sz w:val="22"/>
    </w:rPr>
  </w:style>
  <w:style w:type="paragraph" w:styleId="SGDPRRegister1" w:customStyle="1">
    <w:name w:val="S_GDPR_Register1"/>
    <w:basedOn w:val="Normal"/>
    <w:link w:val="SGDPRRegister1Char"/>
    <w:qFormat/>
    <w:rsid w:val="00900965"/>
    <w:pPr>
      <w:spacing w:before="0" w:after="120"/>
    </w:pPr>
    <w:rPr>
      <w:rFonts w:ascii="Arial" w:hAnsi="Arial" w:cs="Arial"/>
      <w:color w:val="A6A6A6" w:themeColor="background1" w:themeShade="a6"/>
      <w:sz w:val="22"/>
      <w:szCs w:val="22"/>
    </w:rPr>
  </w:style>
  <w:style w:type="paragraph" w:styleId="SGDPRRegister2" w:customStyle="1">
    <w:name w:val="S_GDPR_Register2"/>
    <w:basedOn w:val="SGDPRRegister1"/>
    <w:next w:val="Normal"/>
    <w:link w:val="SGDPRRegister2Char"/>
    <w:qFormat/>
    <w:rsid w:val="00900965"/>
    <w:pPr/>
    <w:rPr/>
  </w:style>
  <w:style w:type="paragraph" w:styleId="SGDPRRegister3" w:customStyle="1">
    <w:name w:val="S_GDPR_Register3"/>
    <w:basedOn w:val="SGDPRRegister1"/>
    <w:next w:val="Normal"/>
    <w:qFormat/>
    <w:rsid w:val="00900965"/>
    <w:pPr>
      <w:ind w:left="851" w:hanging="425"/>
    </w:pPr>
    <w:rPr/>
  </w:style>
  <w:style w:type="paragraph" w:styleId="SGDPRRegister4" w:customStyle="1">
    <w:name w:val="S_GDPR_Register4"/>
    <w:basedOn w:val="SGDPRRegister1"/>
    <w:next w:val="Normal"/>
    <w:qFormat/>
    <w:rsid w:val="00900965"/>
    <w:pPr>
      <w:ind w:left="851" w:hanging="425"/>
    </w:pPr>
    <w:rPr/>
  </w:style>
  <w:style w:type="paragraph" w:styleId="ListParagraph">
    <w:name w:val="List Paragraph"/>
    <w:basedOn w:val="Normal"/>
    <w:uiPriority w:val="34"/>
    <w:qFormat/>
    <w:rsid w:val="001811ba"/>
    <w:pPr>
      <w:widowControl/>
      <w:suppressAutoHyphens w:val="false"/>
      <w:spacing w:lineRule="auto" w:line="254" w:before="0" w:after="160"/>
      <w:ind w:left="720" w:hanging="0"/>
      <w:contextualSpacing/>
    </w:pPr>
    <w:rPr>
      <w:rFonts w:ascii="Calibri" w:hAnsi="Calibri" w:eastAsia="Calibri" w:cs="" w:asciiTheme="minorHAnsi" w:cstheme="minorBidi" w:eastAsiaTheme="minorHAnsi" w:hAnsiTheme="minorHAnsi"/>
      <w:sz w:val="22"/>
      <w:szCs w:val="22"/>
      <w:lang w:val="en-GB" w:eastAsia="en-US" w:bidi="ar-SA"/>
    </w:rPr>
  </w:style>
  <w:style w:type="paragraph" w:styleId="GDPRApisParts" w:customStyle="1">
    <w:name w:val="GDPR_Apis_Parts"/>
    <w:basedOn w:val="Normal"/>
    <w:qFormat/>
    <w:rsid w:val="001811ba"/>
    <w:pPr>
      <w:widowControl/>
      <w:suppressAutoHyphens w:val="false"/>
      <w:spacing w:lineRule="auto" w:line="254" w:before="0" w:after="160"/>
    </w:pPr>
    <w:rPr>
      <w:rFonts w:ascii="Arial" w:hAnsi="Arial" w:eastAsia="Calibri" w:cs="" w:cstheme="minorBidi" w:eastAsiaTheme="minorHAnsi"/>
      <w:b/>
      <w:color w:val="000000" w:themeColor="text1"/>
      <w:sz w:val="28"/>
      <w:szCs w:val="22"/>
      <w:lang w:eastAsia="en-US" w:bidi="ar-SA"/>
    </w:rPr>
  </w:style>
  <w:style w:type="paragraph" w:styleId="Footnotetext">
    <w:name w:val="footnote text"/>
    <w:basedOn w:val="Normal"/>
    <w:link w:val="FootnoteTextChar"/>
    <w:uiPriority w:val="99"/>
    <w:semiHidden/>
    <w:unhideWhenUsed/>
    <w:qFormat/>
    <w:rsid w:val="001811ba"/>
    <w:pPr>
      <w:widowControl/>
      <w:suppressAutoHyphens w:val="false"/>
    </w:pPr>
    <w:rPr>
      <w:rFonts w:ascii="Calibri" w:hAnsi="Calibri" w:eastAsia="Calibri" w:cs="" w:asciiTheme="minorHAnsi" w:cstheme="minorBidi" w:eastAsiaTheme="minorHAnsi" w:hAnsiTheme="minorHAnsi"/>
      <w:sz w:val="20"/>
      <w:szCs w:val="20"/>
      <w:lang w:val="en-GB" w:eastAsia="en-US" w:bidi="ar-SA"/>
    </w:rPr>
  </w:style>
  <w:style w:type="paragraph" w:styleId="Style26">
    <w:name w:val="Бележка под линия"/>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ee122b"/>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eb.apis.bg/e.php?celex=32016R0679&amp;ToPar=Art35" TargetMode="External"/><Relationship Id="rId3" Type="http://schemas.openxmlformats.org/officeDocument/2006/relationships/hyperlink" Target="https://web.apis.bg/e.php?celex=32016R0679&amp;ToPar=Art35" TargetMode="External"/><Relationship Id="rId4" Type="http://schemas.openxmlformats.org/officeDocument/2006/relationships/hyperlink" Target="https://web.apis.bg/e.php?celex=32016R0679&amp;ToPar=Art35" TargetMode="External"/><Relationship Id="rId5" Type="http://schemas.openxmlformats.org/officeDocument/2006/relationships/hyperlink" Target="https://web.apis.bg/e.php?celex=32016R0679&amp;ToPar=Art36" TargetMode="External"/><Relationship Id="rId6" Type="http://schemas.openxmlformats.org/officeDocument/2006/relationships/hyperlink" Target="https://web.apis.bg/e.php?i=651194" TargetMode="External"/><Relationship Id="rId7" Type="http://schemas.openxmlformats.org/officeDocument/2006/relationships/hyperlink" Target="https://web.apis.bg/e.php?celex=32016R0679&amp;ToPar=Art35" TargetMode="External"/><Relationship Id="rId8" Type="http://schemas.openxmlformats.org/officeDocument/2006/relationships/hyperlink" Target="https://web.apis.bg/e.php?i=651194" TargetMode="External"/><Relationship Id="rId9" Type="http://schemas.openxmlformats.org/officeDocument/2006/relationships/hyperlink" Target="https://web.apis.bg/e.php?celex=32016R0679" TargetMode="External"/><Relationship Id="rId10" Type="http://schemas.openxmlformats.org/officeDocument/2006/relationships/hyperlink" Target="https://web.apis.bg/p.php?Base=NARH&amp;DocCode=83626" TargetMode="External"/><Relationship Id="rId11" Type="http://schemas.openxmlformats.org/officeDocument/2006/relationships/hyperlink" Target="https://web.apis.bg/p.php?Base=NARH&amp;DocCode=83626" TargetMode="External"/><Relationship Id="rId12" Type="http://schemas.openxmlformats.org/officeDocument/2006/relationships/hyperlink" Target="https://web.apis.bg/p.php?Base=NARH&amp;DocCode=83626&amp;ToPar=Art11" TargetMode="External"/><Relationship Id="rId13" Type="http://schemas.openxmlformats.org/officeDocument/2006/relationships/hyperlink" Target="https://web.apis.bg/e.php?celex=32016R0679&amp;ToPar=Art35" TargetMode="External"/><Relationship Id="rId14" Type="http://schemas.openxmlformats.org/officeDocument/2006/relationships/hyperlink" Target="https://web.apis.bg/e.php?i=651194" TargetMode="External"/><Relationship Id="rId15" Type="http://schemas.openxmlformats.org/officeDocument/2006/relationships/image" Target="media/image1.png"/><Relationship Id="rId16" Type="http://schemas.openxmlformats.org/officeDocument/2006/relationships/hyperlink" Target="https://web.apis.bg/e.php?celex=32016R0679&amp;ToPar=Art36"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otnotes" Target="footnotes.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44D0F-923B-4C9E-8329-61793C6CA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Application>LibreOffice/5.1.1.3$Windows_x86 LibreOffice_project/89f508ef3ecebd2cfb8e1def0f0ba9a803b88a6d</Application>
  <Pages>6</Pages>
  <Words>1893</Words>
  <Characters>10781</Characters>
  <CharactersWithSpaces>12572</CharactersWithSpaces>
  <Paragraphs>114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2018-03-09T11:26:00Z</dcterms:created>
  <dc:creator>© Apis Europe JSC</dc:creator>
  <dc:description/>
  <dc:language>en-US</dc:language>
  <cp:lastModifiedBy/>
  <dcterms:modified xsi:type="dcterms:W3CDTF">2018-05-25T16:44:32Z</dcterms:modified>
  <cp:revision>27</cp:revision>
  <dc:subject/>
  <dc:title>ПРОЦЕДУРА ЗА ОЦЕНКА НА ВЪЗДЕЙСТВИЕТО ВЪРХУ ЗАЩИТАТА НА ДАННИТЕ</dc:title>
</cp:coreProperties>
</file>